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9B3" w:rsidRDefault="005929BC">
      <w:pPr>
        <w:pStyle w:val="Titre1"/>
      </w:pPr>
      <w:bookmarkStart w:id="0" w:name="X08cba01e34487ed6ee1f4570e1ef4563d12708b"/>
      <w:bookmarkStart w:id="1" w:name="_GoBack"/>
      <w:bookmarkEnd w:id="1"/>
      <w:r>
        <w:t xml:space="preserve"> Valeurs attendues pour vérifier les mesures DAX</w:t>
      </w:r>
    </w:p>
    <w:p w:rsidR="008909B3" w:rsidRDefault="005929BC">
      <w:pPr>
        <w:pStyle w:val="FirstParagraph"/>
      </w:pPr>
      <w:r>
        <w:t xml:space="preserve">Calculées de façon indépendante sur </w:t>
      </w:r>
      <w:r>
        <w:rPr>
          <w:rStyle w:val="VerbatimChar"/>
        </w:rPr>
        <w:t>data/population_departements.xlsx</w:t>
      </w:r>
      <w:r>
        <w:t xml:space="preserve"> (12 départements). Sans filtre dans le rapport :</w:t>
      </w:r>
    </w:p>
    <w:tbl>
      <w:tblPr>
        <w:tblStyle w:val="Table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4664"/>
        <w:gridCol w:w="1552"/>
      </w:tblGrid>
      <w:tr w:rsidR="008909B3" w:rsidTr="00890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8909B3" w:rsidRDefault="005929BC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Mesure DAX</w:t>
            </w:r>
          </w:p>
        </w:tc>
        <w:tc>
          <w:tcPr>
            <w:tcW w:w="0" w:type="auto"/>
            <w:shd w:val="clear" w:color="auto" w:fill="1F3864"/>
          </w:tcPr>
          <w:p w:rsidR="008909B3" w:rsidRDefault="005929BC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Valeur attendue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Population totale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11 100 000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Population moyenne (par département)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925 000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Densité moyenne (moyenne simple des départements)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422,1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Urbanisation moyenne (moyenne simple)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45,17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Urbanisation pondérée (par la population)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47,07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Part des femmes pondérée (%)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50,54</w:t>
            </w:r>
          </w:p>
        </w:tc>
      </w:tr>
    </w:tbl>
    <w:p w:rsidR="008909B3" w:rsidRDefault="005929BC">
      <w:pPr>
        <w:pStyle w:val="Corpsdetexte"/>
      </w:pPr>
      <w:r>
        <w:t xml:space="preserve">Part de la population (mesure </w:t>
      </w:r>
      <w:r>
        <w:rPr>
          <w:rStyle w:val="VerbatimChar"/>
        </w:rPr>
        <w:t>Part de la population</w:t>
      </w:r>
      <w:r>
        <w:t>), par département :</w:t>
      </w:r>
    </w:p>
    <w:tbl>
      <w:tblPr>
        <w:tblStyle w:val="Table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1314"/>
        <w:gridCol w:w="743"/>
      </w:tblGrid>
      <w:tr w:rsidR="008909B3" w:rsidTr="00890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8909B3" w:rsidRDefault="005929BC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Département</w:t>
            </w:r>
          </w:p>
        </w:tc>
        <w:tc>
          <w:tcPr>
            <w:tcW w:w="0" w:type="auto"/>
            <w:shd w:val="clear" w:color="auto" w:fill="1F3864"/>
          </w:tcPr>
          <w:p w:rsidR="008909B3" w:rsidRDefault="005929BC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Part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Atlantique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13,1 %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Borgou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12,2 %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Ouémé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11,3 %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Zou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9,5 %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Littoral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8,6 %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Alibori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8,1 %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Atacora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7,4 %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Couffo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7,0 %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Plateau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6,5 %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Collines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5,9 %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Mono</w:t>
            </w:r>
          </w:p>
        </w:tc>
        <w:tc>
          <w:tcPr>
            <w:tcW w:w="0" w:type="auto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5,6 %</w:t>
            </w:r>
          </w:p>
        </w:tc>
      </w:tr>
      <w:tr w:rsidR="008909B3" w:rsidTr="008909B3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Donga</w:t>
            </w:r>
          </w:p>
        </w:tc>
        <w:tc>
          <w:tcPr>
            <w:tcW w:w="0" w:type="auto"/>
            <w:shd w:val="clear" w:color="auto" w:fill="F2F6FC"/>
          </w:tcPr>
          <w:p w:rsidR="008909B3" w:rsidRDefault="005929BC">
            <w:pPr>
              <w:pStyle w:val="Compact"/>
              <w:spacing w:after="0"/>
            </w:pPr>
            <w:r>
              <w:rPr>
                <w:sz w:val="20"/>
              </w:rPr>
              <w:t>5,0 %</w:t>
            </w:r>
          </w:p>
        </w:tc>
      </w:tr>
      <w:bookmarkEnd w:id="0"/>
    </w:tbl>
    <w:p w:rsidR="005929BC" w:rsidRDefault="005929BC"/>
    <w:sectPr w:rsidR="005929BC">
      <w:footerReference w:type="default" r:id="rId7"/>
      <w:pgSz w:w="11906" w:h="16838"/>
      <w:pgMar w:top="1247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29BC" w:rsidRDefault="005929BC">
      <w:pPr>
        <w:spacing w:after="0"/>
      </w:pPr>
      <w:r>
        <w:separator/>
      </w:r>
    </w:p>
  </w:endnote>
  <w:endnote w:type="continuationSeparator" w:id="0">
    <w:p w:rsidR="005929BC" w:rsidRDefault="005929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9B3" w:rsidRDefault="005929BC">
    <w:pPr>
      <w:jc w:val="center"/>
    </w:pPr>
    <w:r>
      <w:rPr>
        <w:color w:val="7F7F7F"/>
        <w:sz w:val="18"/>
      </w:rPr>
      <w:t xml:space="preserve">03_powerbi_population_benin — 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PAGE</w:instrText>
    </w:r>
    <w:r w:rsidR="00C000B9">
      <w:rPr>
        <w:color w:val="7F7F7F"/>
        <w:sz w:val="18"/>
      </w:rPr>
      <w:fldChar w:fldCharType="separate"/>
    </w:r>
    <w:r w:rsidR="00C000B9">
      <w:rPr>
        <w:noProof/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29BC" w:rsidRDefault="005929BC">
      <w:r>
        <w:separator/>
      </w:r>
    </w:p>
  </w:footnote>
  <w:footnote w:type="continuationSeparator" w:id="0">
    <w:p w:rsidR="005929BC" w:rsidRDefault="00592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0D0F8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909B3"/>
    <w:rsid w:val="005929BC"/>
    <w:rsid w:val="008909B3"/>
    <w:rsid w:val="00C0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A726"/>
  <w15:docId w15:val="{0BE33CD6-2F09-4E8E-AE1E-D1CD0568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pBdr>
        <w:bottom w:val="single" w:sz="12" w:space="4" w:color="1F3864"/>
      </w:pBdr>
      <w:spacing w:after="120"/>
      <w:outlineLvl w:val="0"/>
    </w:pPr>
    <w:rPr>
      <w:b/>
      <w:bCs/>
      <w:color w:val="1F3864"/>
      <w:sz w:val="44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320" w:after="120"/>
      <w:outlineLvl w:val="1"/>
    </w:pPr>
    <w:rPr>
      <w:b/>
      <w:bCs/>
      <w:color w:val="2E5496"/>
      <w:sz w:val="32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320" w:after="120"/>
      <w:outlineLvl w:val="2"/>
    </w:pPr>
    <w:rPr>
      <w:b/>
      <w:bCs/>
      <w:color w:val="2E5496"/>
      <w:sz w:val="26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320" w:after="120"/>
      <w:outlineLvl w:val="3"/>
    </w:pPr>
    <w:rPr>
      <w:b/>
      <w:bCs/>
      <w:color w:val="2E5496"/>
      <w:sz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after="120" w:line="276" w:lineRule="auto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40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pBdr>
        <w:left w:val="single" w:sz="24" w:space="8" w:color="2E5496"/>
      </w:pBdr>
      <w:shd w:val="clear" w:color="auto" w:fill="EAF0FA"/>
      <w:spacing w:before="120" w:after="200"/>
      <w:ind w:left="480" w:right="480"/>
    </w:pPr>
    <w:rPr>
      <w:sz w:val="21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eastAsia="Consolas" w:hAnsi="Consolas" w:cs="Consolas"/>
      <w:color w:val="9C1C4B"/>
      <w:sz w:val="19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rFonts w:ascii="Calibri" w:eastAsia="Calibri" w:hAnsi="Calibri" w:cs="Calibri"/>
      <w:color w:val="2E5496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2F2F2"/>
      <w:spacing w:after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9C1C4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614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Génial Hyacinthe AZONNAKPO</cp:lastModifiedBy>
  <cp:revision>3</cp:revision>
  <dcterms:created xsi:type="dcterms:W3CDTF">2026-10-11T09:50:00Z</dcterms:created>
  <dcterms:modified xsi:type="dcterms:W3CDTF">2026-10-17T01:17:00Z</dcterms:modified>
  <dc:language>fr-FR</dc:language>
</cp:coreProperties>
</file>