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38B" w:rsidRDefault="009E79AF">
      <w:pPr>
        <w:pStyle w:val="Titre1"/>
      </w:pPr>
      <w:bookmarkStart w:id="0" w:name="X77aaa7e9ae611164e576c48f8dac354f5fee93a"/>
      <w:bookmarkStart w:id="1" w:name="_GoBack"/>
      <w:bookmarkEnd w:id="1"/>
      <w:r>
        <w:t>Facteurs associés à la réussite académique (Python)</w:t>
      </w:r>
    </w:p>
    <w:p w:rsidR="00BF138B" w:rsidRDefault="009E79AF">
      <w:pPr>
        <w:pStyle w:val="Normalcentr"/>
      </w:pPr>
      <w:r>
        <w:rPr>
          <w:b/>
          <w:bCs/>
        </w:rPr>
        <w:t>Données pédagogiques simulées</w:t>
      </w:r>
      <w:r>
        <w:t xml:space="preserve"> (240 étudiants fictifs).</w:t>
      </w:r>
    </w:p>
    <w:p w:rsidR="00BF138B" w:rsidRDefault="009E79AF">
      <w:pPr>
        <w:pStyle w:val="Titre2"/>
      </w:pPr>
      <w:bookmarkStart w:id="2" w:name="problématique"/>
      <w:r>
        <w:t>Problématique</w:t>
      </w:r>
    </w:p>
    <w:p w:rsidR="00BF138B" w:rsidRDefault="009E79AF">
      <w:pPr>
        <w:pStyle w:val="FirstParagraph"/>
      </w:pPr>
      <w:r>
        <w:t>Le temps d'étude, l'assiduité et les résultats intermédiaires sont-ils associés à la réussite ?</w:t>
      </w:r>
    </w:p>
    <w:p w:rsidR="00BF138B" w:rsidRDefault="009E79AF">
      <w:pPr>
        <w:pStyle w:val="Titre2"/>
      </w:pPr>
      <w:bookmarkStart w:id="3" w:name="données"/>
      <w:bookmarkEnd w:id="2"/>
      <w:r>
        <w:t>Données</w:t>
      </w:r>
    </w:p>
    <w:p w:rsidR="00BF138B" w:rsidRDefault="009E79AF">
      <w:pPr>
        <w:pStyle w:val="FirstParagraph"/>
      </w:pPr>
      <w:r>
        <w:rPr>
          <w:rStyle w:val="VerbatimChar"/>
        </w:rPr>
        <w:t>data/students.xlsx</w:t>
      </w:r>
      <w:r>
        <w:t xml:space="preserve"> (feuille « Donnees ») — 240 étudiants.</w:t>
      </w:r>
    </w:p>
    <w:tbl>
      <w:tblPr>
        <w:tblStyle w:val="Table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  <w:tblLook w:val="0020" w:firstRow="1" w:lastRow="0" w:firstColumn="0" w:lastColumn="0" w:noHBand="0" w:noVBand="0"/>
      </w:tblPr>
      <w:tblGrid>
        <w:gridCol w:w="1960"/>
        <w:gridCol w:w="4342"/>
      </w:tblGrid>
      <w:tr w:rsidR="00BF138B" w:rsidTr="00BF1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F3864"/>
          </w:tcPr>
          <w:p w:rsidR="00BF138B" w:rsidRDefault="009E79AF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0" w:type="auto"/>
            <w:shd w:val="clear" w:color="auto" w:fill="1F3864"/>
          </w:tcPr>
          <w:p w:rsidR="00BF138B" w:rsidRDefault="009E79AF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F138B" w:rsidTr="00BF138B">
        <w:trPr>
          <w:cantSplit/>
          <w:jc w:val="center"/>
        </w:trPr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student_id</w:t>
            </w:r>
          </w:p>
        </w:tc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Identifiant</w:t>
            </w:r>
          </w:p>
        </w:tc>
      </w:tr>
      <w:tr w:rsidR="00BF138B" w:rsidTr="00BF138B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BF138B" w:rsidRDefault="009E79AF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study_hours_week</w:t>
            </w:r>
          </w:p>
        </w:tc>
        <w:tc>
          <w:tcPr>
            <w:tcW w:w="0" w:type="auto"/>
            <w:shd w:val="clear" w:color="auto" w:fill="F2F6FC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Heures d'étude par semaine</w:t>
            </w:r>
          </w:p>
        </w:tc>
      </w:tr>
      <w:tr w:rsidR="00BF138B" w:rsidTr="00BF138B">
        <w:trPr>
          <w:cantSplit/>
          <w:jc w:val="center"/>
        </w:trPr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attendance_pct</w:t>
            </w:r>
          </w:p>
        </w:tc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Assiduité (%)</w:t>
            </w:r>
          </w:p>
        </w:tc>
      </w:tr>
      <w:tr w:rsidR="00BF138B" w:rsidTr="00BF138B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BF138B" w:rsidRDefault="009E79AF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assignments_avg</w:t>
            </w:r>
          </w:p>
        </w:tc>
        <w:tc>
          <w:tcPr>
            <w:tcW w:w="0" w:type="auto"/>
            <w:shd w:val="clear" w:color="auto" w:fill="F2F6FC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Moyenne des devoirs (/20)</w:t>
            </w:r>
          </w:p>
        </w:tc>
      </w:tr>
      <w:tr w:rsidR="00BF138B" w:rsidTr="00BF138B">
        <w:trPr>
          <w:cantSplit/>
          <w:jc w:val="center"/>
        </w:trPr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statistics_avg</w:t>
            </w:r>
          </w:p>
        </w:tc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Moyenne en statistique (/20)</w:t>
            </w:r>
          </w:p>
        </w:tc>
      </w:tr>
      <w:tr w:rsidR="00BF138B" w:rsidTr="00BF138B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BF138B" w:rsidRDefault="009E79AF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final_avg</w:t>
            </w:r>
          </w:p>
        </w:tc>
        <w:tc>
          <w:tcPr>
            <w:tcW w:w="0" w:type="auto"/>
            <w:shd w:val="clear" w:color="auto" w:fill="F2F6FC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Moyenne finale (/20)</w:t>
            </w:r>
          </w:p>
        </w:tc>
      </w:tr>
      <w:tr w:rsidR="00BF138B" w:rsidTr="00BF138B">
        <w:trPr>
          <w:cantSplit/>
          <w:jc w:val="center"/>
        </w:trPr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passed</w:t>
            </w:r>
          </w:p>
        </w:tc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« Oui » si la moyenne finale est ≥ 10, « Non » sinon</w:t>
            </w:r>
          </w:p>
        </w:tc>
      </w:tr>
    </w:tbl>
    <w:p w:rsidR="00BF138B" w:rsidRDefault="009E79AF">
      <w:pPr>
        <w:pStyle w:val="Corpsdetexte"/>
      </w:pPr>
      <w:r>
        <w:t xml:space="preserve">L'analyse vérifie que </w:t>
      </w:r>
      <w:r>
        <w:rPr>
          <w:rStyle w:val="VerbatimChar"/>
        </w:rPr>
        <w:t>passed</w:t>
      </w:r>
      <w:r>
        <w:t xml:space="preserve"> est bien cohérent avec ce seuil sur les 240 lignes : la colonne ne contient donc aucune information supplémentaire.</w:t>
      </w:r>
    </w:p>
    <w:p w:rsidR="00BF138B" w:rsidRDefault="009E79AF">
      <w:pPr>
        <w:pStyle w:val="Titre2"/>
      </w:pPr>
      <w:bookmarkStart w:id="4" w:name="méthode"/>
      <w:bookmarkEnd w:id="3"/>
      <w:r>
        <w:t>Méthode</w:t>
      </w:r>
    </w:p>
    <w:p w:rsidR="00BF138B" w:rsidRDefault="009E79AF">
      <w:pPr>
        <w:pStyle w:val="Compact"/>
        <w:numPr>
          <w:ilvl w:val="0"/>
          <w:numId w:val="2"/>
        </w:numPr>
      </w:pPr>
      <w:r>
        <w:t>Contrôle de qualité (valeurs manquantes, doublons, plausibilité).</w:t>
      </w:r>
    </w:p>
    <w:p w:rsidR="00BF138B" w:rsidRDefault="009E79AF">
      <w:pPr>
        <w:pStyle w:val="Compact"/>
        <w:numPr>
          <w:ilvl w:val="0"/>
          <w:numId w:val="2"/>
        </w:numPr>
      </w:pPr>
      <w:r>
        <w:t>Statistiques descriptives et taux de réussite.</w:t>
      </w:r>
    </w:p>
    <w:p w:rsidR="00BF138B" w:rsidRDefault="009E79AF">
      <w:pPr>
        <w:pStyle w:val="Compact"/>
        <w:numPr>
          <w:ilvl w:val="0"/>
          <w:numId w:val="2"/>
        </w:numPr>
      </w:pPr>
      <w:r>
        <w:t xml:space="preserve">Corrélations avec la moyenne finale : Pearson avec </w:t>
      </w:r>
      <w:r>
        <w:rPr>
          <w:b/>
          <w:bCs/>
        </w:rPr>
        <w:t>intervalle de confiance à 95 %</w:t>
      </w:r>
      <w:r>
        <w:t>, Spearman, p-valeur.</w:t>
      </w:r>
    </w:p>
    <w:p w:rsidR="00BF138B" w:rsidRDefault="009E79AF">
      <w:pPr>
        <w:pStyle w:val="Compact"/>
        <w:numPr>
          <w:ilvl w:val="0"/>
          <w:numId w:val="2"/>
        </w:numPr>
      </w:pPr>
      <w:r>
        <w:t>Régression linéaire multiple descriptive</w:t>
      </w:r>
      <w:r>
        <w:t>.</w:t>
      </w:r>
    </w:p>
    <w:p w:rsidR="00BF138B" w:rsidRDefault="009E79AF">
      <w:pPr>
        <w:pStyle w:val="Compact"/>
        <w:numPr>
          <w:ilvl w:val="0"/>
          <w:numId w:val="2"/>
        </w:numPr>
      </w:pPr>
      <w:r>
        <w:t>Taux de réussite par quartile de temps d'étude et d'assiduité.</w:t>
      </w:r>
    </w:p>
    <w:p w:rsidR="00BF138B" w:rsidRDefault="009E79AF">
      <w:pPr>
        <w:pStyle w:val="Titre2"/>
      </w:pPr>
      <w:bookmarkStart w:id="5" w:name="résultats"/>
      <w:bookmarkEnd w:id="4"/>
      <w:r>
        <w:t>Résultats</w:t>
      </w:r>
    </w:p>
    <w:p w:rsidR="00BF138B" w:rsidRDefault="009E79AF">
      <w:pPr>
        <w:pStyle w:val="Compact"/>
        <w:numPr>
          <w:ilvl w:val="0"/>
          <w:numId w:val="3"/>
        </w:numPr>
      </w:pPr>
      <w:r>
        <w:rPr>
          <w:b/>
          <w:bCs/>
        </w:rPr>
        <w:t>Taux de réussite : 60,4 %</w:t>
      </w:r>
      <w:r>
        <w:t xml:space="preserve"> (145 étudiants sur 240) ; moyenne finale 10,46/20 (écart-type 1,62).</w:t>
      </w:r>
    </w:p>
    <w:p w:rsidR="00BF138B" w:rsidRDefault="009E79AF">
      <w:pPr>
        <w:pStyle w:val="Compact"/>
        <w:numPr>
          <w:ilvl w:val="0"/>
          <w:numId w:val="3"/>
        </w:numPr>
      </w:pPr>
      <w:r>
        <w:t>Corrélations avec la moyenne finale :</w:t>
      </w:r>
    </w:p>
    <w:tbl>
      <w:tblPr>
        <w:tblStyle w:val="Table"/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  <w:tblLook w:val="0020" w:firstRow="1" w:lastRow="0" w:firstColumn="0" w:lastColumn="0" w:noHBand="0" w:noVBand="0"/>
      </w:tblPr>
      <w:tblGrid>
        <w:gridCol w:w="2493"/>
        <w:gridCol w:w="1242"/>
        <w:gridCol w:w="1275"/>
      </w:tblGrid>
      <w:tr w:rsidR="00BF138B" w:rsidTr="00BF1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F3864"/>
          </w:tcPr>
          <w:p w:rsidR="00BF138B" w:rsidRDefault="009E79AF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w="0" w:type="auto"/>
            <w:shd w:val="clear" w:color="auto" w:fill="1F3864"/>
          </w:tcPr>
          <w:p w:rsidR="00BF138B" w:rsidRDefault="009E79AF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r de Pearson</w:t>
            </w:r>
          </w:p>
        </w:tc>
        <w:tc>
          <w:tcPr>
            <w:tcW w:w="0" w:type="auto"/>
            <w:shd w:val="clear" w:color="auto" w:fill="1F3864"/>
          </w:tcPr>
          <w:p w:rsidR="00BF138B" w:rsidRDefault="009E79AF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IC à 95 %</w:t>
            </w:r>
          </w:p>
        </w:tc>
      </w:tr>
      <w:tr w:rsidR="00BF138B" w:rsidTr="00BF138B">
        <w:trPr>
          <w:cantSplit/>
          <w:jc w:val="center"/>
        </w:trPr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Moyenne en stat</w:t>
            </w:r>
            <w:r>
              <w:rPr>
                <w:sz w:val="20"/>
              </w:rPr>
              <w:t>istique</w:t>
            </w:r>
          </w:p>
        </w:tc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0,72</w:t>
            </w:r>
          </w:p>
        </w:tc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[0,65 ; 0,78]</w:t>
            </w:r>
          </w:p>
        </w:tc>
      </w:tr>
      <w:tr w:rsidR="00BF138B" w:rsidTr="00BF138B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Heures d'étude par semaine</w:t>
            </w:r>
          </w:p>
        </w:tc>
        <w:tc>
          <w:tcPr>
            <w:tcW w:w="0" w:type="auto"/>
            <w:shd w:val="clear" w:color="auto" w:fill="F2F6FC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0,29</w:t>
            </w:r>
          </w:p>
        </w:tc>
        <w:tc>
          <w:tcPr>
            <w:tcW w:w="0" w:type="auto"/>
            <w:shd w:val="clear" w:color="auto" w:fill="F2F6FC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[0,17 ; 0,40]</w:t>
            </w:r>
          </w:p>
        </w:tc>
      </w:tr>
      <w:tr w:rsidR="00BF138B" w:rsidTr="00BF138B">
        <w:trPr>
          <w:cantSplit/>
          <w:jc w:val="center"/>
        </w:trPr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Assiduité</w:t>
            </w:r>
          </w:p>
        </w:tc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0,16</w:t>
            </w:r>
          </w:p>
        </w:tc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[0,03 ; 0,28]</w:t>
            </w:r>
          </w:p>
        </w:tc>
      </w:tr>
      <w:tr w:rsidR="00BF138B" w:rsidTr="00BF138B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lastRenderedPageBreak/>
              <w:t>Moyenne des devoirs</w:t>
            </w:r>
          </w:p>
        </w:tc>
        <w:tc>
          <w:tcPr>
            <w:tcW w:w="0" w:type="auto"/>
            <w:shd w:val="clear" w:color="auto" w:fill="F2F6FC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0,01</w:t>
            </w:r>
          </w:p>
        </w:tc>
        <w:tc>
          <w:tcPr>
            <w:tcW w:w="0" w:type="auto"/>
            <w:shd w:val="clear" w:color="auto" w:fill="F2F6FC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[−0,11 ; 0,14]</w:t>
            </w:r>
          </w:p>
        </w:tc>
      </w:tr>
    </w:tbl>
    <w:p w:rsidR="00BF138B" w:rsidRDefault="009E79AF">
      <w:pPr>
        <w:pStyle w:val="Compact"/>
        <w:numPr>
          <w:ilvl w:val="0"/>
          <w:numId w:val="4"/>
        </w:numPr>
      </w:pPr>
      <w:r>
        <w:t xml:space="preserve">Taux de réussite selon les heures d'étude : 46 % (quart le plus faible), 58 %, 65 %, </w:t>
      </w:r>
      <w:r>
        <w:rPr>
          <w:b/>
          <w:bCs/>
        </w:rPr>
        <w:t>73 %</w:t>
      </w:r>
      <w:r>
        <w:t xml:space="preserve"> </w:t>
      </w:r>
      <w:r>
        <w:t>(quart le plus élevé).</w:t>
      </w:r>
    </w:p>
    <w:p w:rsidR="00BF138B" w:rsidRDefault="009E79AF">
      <w:pPr>
        <w:pStyle w:val="Compact"/>
        <w:numPr>
          <w:ilvl w:val="0"/>
          <w:numId w:val="4"/>
        </w:numPr>
      </w:pPr>
      <w:r>
        <w:t>Selon l'assiduité : 55 %, 53 %, 67 %, 67 % — hausse irrégulière, sans progression nette dans les deux premiers quartiles.</w:t>
      </w:r>
    </w:p>
    <w:p w:rsidR="00BF138B" w:rsidRDefault="009E79AF">
      <w:pPr>
        <w:pStyle w:val="Compact"/>
        <w:numPr>
          <w:ilvl w:val="0"/>
          <w:numId w:val="4"/>
        </w:numPr>
      </w:pPr>
      <w:r>
        <w:t xml:space="preserve">Régression multiple : R² = 0,66 ; </w:t>
      </w:r>
      <w:r>
        <w:rPr>
          <w:b/>
          <w:bCs/>
        </w:rPr>
        <w:t>R² = 0,12 sans la note de statistique</w:t>
      </w:r>
      <w:r>
        <w:t>.</w:t>
      </w:r>
    </w:p>
    <w:p w:rsidR="00BF138B" w:rsidRDefault="009E79AF">
      <w:pPr>
        <w:pStyle w:val="FirstParagraph"/>
        <w:spacing w:after="160"/>
        <w:jc w:val="center"/>
      </w:pPr>
      <w:r>
        <w:rPr>
          <w:noProof/>
          <w:lang w:eastAsia="fr-FR"/>
        </w:rPr>
        <w:drawing>
          <wp:inline distT="0" distB="0" distL="0" distR="0">
            <wp:extent cx="5334000" cy="3259666"/>
            <wp:effectExtent l="0" t="0" r="0" b="0"/>
            <wp:docPr id="24" name="Picture" descr="Distribu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figures/distribution_moyenne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96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fr-FR"/>
        </w:rPr>
        <w:drawing>
          <wp:inline distT="0" distB="0" distL="0" distR="0">
            <wp:extent cx="5334000" cy="3437466"/>
            <wp:effectExtent l="0" t="0" r="0" b="0"/>
            <wp:docPr id="27" name="Picture" descr="Heures d'étude et moyen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figures/etude_performance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7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fr-FR"/>
        </w:rPr>
        <w:lastRenderedPageBreak/>
        <w:drawing>
          <wp:inline distT="0" distB="0" distL="0" distR="0">
            <wp:extent cx="5334000" cy="3437466"/>
            <wp:effectExtent l="0" t="0" r="0" b="0"/>
            <wp:docPr id="30" name="Picture" descr="Assiduité et moyenn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figures/assiduite_performance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74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fr-FR"/>
        </w:rPr>
        <w:drawing>
          <wp:inline distT="0" distB="0" distL="0" distR="0">
            <wp:extent cx="5334000" cy="2844800"/>
            <wp:effectExtent l="0" t="0" r="0" b="0"/>
            <wp:docPr id="33" name="Picture" descr="Corrélation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figures/correlation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44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fr-FR"/>
        </w:rPr>
        <w:lastRenderedPageBreak/>
        <w:drawing>
          <wp:inline distT="0" distB="0" distL="0" distR="0">
            <wp:extent cx="5334000" cy="2424545"/>
            <wp:effectExtent l="0" t="0" r="0" b="0"/>
            <wp:docPr id="36" name="Picture" descr="Profil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figures/reussite_boxplo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  <w:lang w:eastAsia="fr-FR"/>
        </w:rPr>
        <w:drawing>
          <wp:inline distT="0" distB="0" distL="0" distR="0">
            <wp:extent cx="5334000" cy="2424545"/>
            <wp:effectExtent l="0" t="0" r="0" b="0"/>
            <wp:docPr id="39" name="Picture" descr="Taux de réussite par quartil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figures/taux_reussite_par_classe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24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F138B" w:rsidRDefault="009E79AF">
      <w:pPr>
        <w:pStyle w:val="Titre2"/>
      </w:pPr>
      <w:bookmarkStart w:id="6" w:name="interprétation"/>
      <w:bookmarkEnd w:id="5"/>
      <w:r>
        <w:t>Interprétation</w:t>
      </w:r>
    </w:p>
    <w:p w:rsidR="00BF138B" w:rsidRDefault="009E79AF">
      <w:pPr>
        <w:pStyle w:val="Compact"/>
        <w:numPr>
          <w:ilvl w:val="0"/>
          <w:numId w:val="5"/>
        </w:numPr>
      </w:pPr>
      <w:r>
        <w:t>Les étudian</w:t>
      </w:r>
      <w:r>
        <w:t>ts qui étudient davantage réussissent plus souvent (73 % contre 46 % entre les quartiles extrêmes), mais la corrélation n'est que de 0,29 : le temps d'étude explique une part limitée des écarts.</w:t>
      </w:r>
    </w:p>
    <w:p w:rsidR="00BF138B" w:rsidRDefault="009E79AF">
      <w:pPr>
        <w:pStyle w:val="Compact"/>
        <w:numPr>
          <w:ilvl w:val="0"/>
          <w:numId w:val="5"/>
        </w:numPr>
      </w:pPr>
      <w:r>
        <w:t>La note de statistique domine (r = 0,72), mais elle entre vra</w:t>
      </w:r>
      <w:r>
        <w:t>isemblablement dans le calcul de la moyenne finale : cette corrélation est en partie mécanique et ne désigne pas un « facteur de réussite » indépendant. Le R² chute de 0,66 à 0,12 quand on la retire.</w:t>
      </w:r>
    </w:p>
    <w:p w:rsidR="00BF138B" w:rsidRDefault="009E79AF">
      <w:pPr>
        <w:pStyle w:val="Compact"/>
        <w:numPr>
          <w:ilvl w:val="0"/>
          <w:numId w:val="5"/>
        </w:numPr>
      </w:pPr>
      <w:r>
        <w:t>La moyenne des devoirs n'a aucune association visible av</w:t>
      </w:r>
      <w:r>
        <w:t>ec la moyenne finale (r = 0,01).</w:t>
      </w:r>
    </w:p>
    <w:p w:rsidR="00BF138B" w:rsidRDefault="009E79AF">
      <w:pPr>
        <w:pStyle w:val="Compact"/>
        <w:numPr>
          <w:ilvl w:val="0"/>
          <w:numId w:val="5"/>
        </w:numPr>
      </w:pPr>
      <w:r>
        <w:t>L'assiduité a une association faible (r = 0,16), statistiquement détectable avec 240 observations mais d'importance pratique modeste.</w:t>
      </w:r>
    </w:p>
    <w:p w:rsidR="00BF138B" w:rsidRDefault="009E79AF">
      <w:pPr>
        <w:pStyle w:val="Titre2"/>
      </w:pPr>
      <w:bookmarkStart w:id="7" w:name="limites"/>
      <w:bookmarkEnd w:id="6"/>
      <w:r>
        <w:t>Limites</w:t>
      </w:r>
    </w:p>
    <w:p w:rsidR="00BF138B" w:rsidRDefault="009E79AF">
      <w:pPr>
        <w:pStyle w:val="Compact"/>
        <w:numPr>
          <w:ilvl w:val="0"/>
          <w:numId w:val="6"/>
        </w:numPr>
      </w:pPr>
      <w:r>
        <w:t>Données simulées : ces résultats ne disent rien sur de vrais étudiants.</w:t>
      </w:r>
    </w:p>
    <w:p w:rsidR="00BF138B" w:rsidRDefault="009E79AF">
      <w:pPr>
        <w:pStyle w:val="Compact"/>
        <w:numPr>
          <w:ilvl w:val="0"/>
          <w:numId w:val="6"/>
        </w:numPr>
      </w:pPr>
      <w:r>
        <w:t>Association n'est pas causalité : un étudiant motivé peut à la fois étudier plus et réussir mieux.</w:t>
      </w:r>
    </w:p>
    <w:p w:rsidR="00BF138B" w:rsidRDefault="009E79AF">
      <w:pPr>
        <w:pStyle w:val="Compact"/>
        <w:numPr>
          <w:ilvl w:val="0"/>
          <w:numId w:val="6"/>
        </w:numPr>
      </w:pPr>
      <w:r>
        <w:t xml:space="preserve">La variable </w:t>
      </w:r>
      <w:r>
        <w:rPr>
          <w:rStyle w:val="VerbatimChar"/>
        </w:rPr>
        <w:t>passed</w:t>
      </w:r>
      <w:r>
        <w:t xml:space="preserve"> est dérivée de </w:t>
      </w:r>
      <w:r>
        <w:rPr>
          <w:rStyle w:val="VerbatimChar"/>
        </w:rPr>
        <w:t>final_avg</w:t>
      </w:r>
      <w:r>
        <w:t xml:space="preserve"> (seuil à 10) ; elle n'a donc pas été utilisée comme variable explicative.</w:t>
      </w:r>
    </w:p>
    <w:p w:rsidR="00BF138B" w:rsidRDefault="009E79AF">
      <w:pPr>
        <w:pStyle w:val="Compact"/>
        <w:numPr>
          <w:ilvl w:val="0"/>
          <w:numId w:val="6"/>
        </w:numPr>
      </w:pPr>
      <w:r>
        <w:t>Modèle linéaire simple, sans validation</w:t>
      </w:r>
      <w:r>
        <w:t xml:space="preserve"> sur un jeu indépendant.</w:t>
      </w:r>
    </w:p>
    <w:p w:rsidR="00BF138B" w:rsidRDefault="009E79AF">
      <w:pPr>
        <w:pStyle w:val="Titre2"/>
      </w:pPr>
      <w:bookmarkStart w:id="8" w:name="reproductibilité"/>
      <w:bookmarkEnd w:id="7"/>
      <w:r>
        <w:lastRenderedPageBreak/>
        <w:t>Reproductibilité</w:t>
      </w:r>
    </w:p>
    <w:p w:rsidR="00BF138B" w:rsidRDefault="009E79AF">
      <w:pPr>
        <w:pStyle w:val="FirstParagraph"/>
      </w:pPr>
      <w:r>
        <w:t xml:space="preserve">Les résultats présentés ont été obtenus avec Python (pandas, scipy, matplotlib). Le code source n'est pas inclus dans ce dossier : les données d'entrée (classeur Excel du dossier </w:t>
      </w:r>
      <w:r>
        <w:rPr>
          <w:rStyle w:val="VerbatimChar"/>
        </w:rPr>
        <w:t>data/</w:t>
      </w:r>
      <w:r>
        <w:t>), les tableaux de résultats (</w:t>
      </w:r>
      <w:r>
        <w:rPr>
          <w:rStyle w:val="VerbatimChar"/>
        </w:rPr>
        <w:t>results/</w:t>
      </w:r>
      <w:r>
        <w:t>) et les graphiques (</w:t>
      </w:r>
      <w:r>
        <w:rPr>
          <w:rStyle w:val="VerbatimChar"/>
        </w:rPr>
        <w:t>figures/</w:t>
      </w:r>
      <w:r>
        <w:t>) permettent de vérifier et de réutiliser l'analyse.</w:t>
      </w:r>
    </w:p>
    <w:p w:rsidR="00BF138B" w:rsidRDefault="009E79AF">
      <w:pPr>
        <w:pStyle w:val="Titre2"/>
      </w:pPr>
      <w:bookmarkStart w:id="9" w:name="contenu-du-dossier"/>
      <w:bookmarkEnd w:id="8"/>
      <w:r>
        <w:t>Contenu du dossier</w:t>
      </w:r>
    </w:p>
    <w:tbl>
      <w:tblPr>
        <w:tblStyle w:val="Table"/>
        <w:tblW w:w="5000" w:type="pct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top w:w="50" w:type="dxa"/>
          <w:left w:w="100" w:type="dxa"/>
          <w:bottom w:w="50" w:type="dxa"/>
          <w:right w:w="100" w:type="dxa"/>
        </w:tblCellMar>
        <w:tblLook w:val="0020" w:firstRow="1" w:lastRow="0" w:firstColumn="0" w:lastColumn="0" w:noHBand="0" w:noVBand="0"/>
      </w:tblPr>
      <w:tblGrid>
        <w:gridCol w:w="4956"/>
        <w:gridCol w:w="4656"/>
      </w:tblGrid>
      <w:tr w:rsidR="00BF138B" w:rsidTr="00BF13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0" w:type="auto"/>
            <w:shd w:val="clear" w:color="auto" w:fill="1F3864"/>
          </w:tcPr>
          <w:p w:rsidR="00BF138B" w:rsidRDefault="009E79AF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w="0" w:type="auto"/>
            <w:shd w:val="clear" w:color="auto" w:fill="1F3864"/>
          </w:tcPr>
          <w:p w:rsidR="00BF138B" w:rsidRDefault="009E79AF">
            <w:pPr>
              <w:pStyle w:val="Compact"/>
              <w:spacing w:after="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BF138B" w:rsidTr="00BF138B">
        <w:trPr>
          <w:cantSplit/>
          <w:jc w:val="center"/>
        </w:trPr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data/students.xlsx</w:t>
            </w:r>
          </w:p>
        </w:tc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Données de départ (240 étudiants)</w:t>
            </w:r>
          </w:p>
        </w:tc>
      </w:tr>
      <w:tr w:rsidR="00BF138B" w:rsidTr="00BF138B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BF138B" w:rsidRDefault="009E79AF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figures/</w:t>
            </w:r>
          </w:p>
        </w:tc>
        <w:tc>
          <w:tcPr>
            <w:tcW w:w="0" w:type="auto"/>
            <w:shd w:val="clear" w:color="auto" w:fill="F2F6FC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6 graphiques au format PNG</w:t>
            </w:r>
          </w:p>
        </w:tc>
      </w:tr>
      <w:tr w:rsidR="00BF138B" w:rsidTr="00BF138B">
        <w:trPr>
          <w:cantSplit/>
          <w:jc w:val="center"/>
        </w:trPr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results/resultats.docx</w:t>
            </w:r>
          </w:p>
        </w:tc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Résumé détaillé de l'analyse</w:t>
            </w:r>
          </w:p>
        </w:tc>
      </w:tr>
      <w:tr w:rsidR="00BF138B" w:rsidTr="00BF138B">
        <w:trPr>
          <w:cantSplit/>
          <w:jc w:val="center"/>
        </w:trPr>
        <w:tc>
          <w:tcPr>
            <w:tcW w:w="0" w:type="auto"/>
            <w:shd w:val="clear" w:color="auto" w:fill="F2F6FC"/>
          </w:tcPr>
          <w:p w:rsidR="00BF138B" w:rsidRDefault="009E79AF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results/tableaux_resultats.xlsx</w:t>
            </w:r>
          </w:p>
        </w:tc>
        <w:tc>
          <w:tcPr>
            <w:tcW w:w="0" w:type="auto"/>
            <w:shd w:val="clear" w:color="auto" w:fill="F2F6FC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Statistiques descriptives et corrélations</w:t>
            </w:r>
          </w:p>
        </w:tc>
      </w:tr>
      <w:tr w:rsidR="00BF138B" w:rsidTr="00BF138B">
        <w:trPr>
          <w:cantSplit/>
          <w:jc w:val="center"/>
        </w:trPr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rStyle w:val="VerbatimChar"/>
                <w:sz w:val="20"/>
              </w:rPr>
              <w:t>LICENCE.docx</w:t>
            </w:r>
          </w:p>
        </w:tc>
        <w:tc>
          <w:tcPr>
            <w:tcW w:w="0" w:type="auto"/>
          </w:tcPr>
          <w:p w:rsidR="00BF138B" w:rsidRDefault="009E79AF">
            <w:pPr>
              <w:pStyle w:val="Compact"/>
              <w:spacing w:after="0"/>
            </w:pPr>
            <w:r>
              <w:rPr>
                <w:sz w:val="20"/>
              </w:rPr>
              <w:t>Licence d'utilisation (MIT, en français)</w:t>
            </w:r>
          </w:p>
        </w:tc>
      </w:tr>
    </w:tbl>
    <w:p w:rsidR="00BF138B" w:rsidRDefault="009E79AF">
      <w:pPr>
        <w:pStyle w:val="Titre2"/>
      </w:pPr>
      <w:bookmarkStart w:id="10" w:name="licence"/>
      <w:bookmarkEnd w:id="9"/>
      <w:r>
        <w:t>Licence</w:t>
      </w:r>
    </w:p>
    <w:p w:rsidR="00BF138B" w:rsidRDefault="009E79AF">
      <w:pPr>
        <w:pStyle w:val="FirstParagraph"/>
      </w:pPr>
      <w:r>
        <w:t xml:space="preserve">Ce projet est distribué sous licence MIT, dont le texte français figure dans le fichier </w:t>
      </w:r>
      <w:r>
        <w:rPr>
          <w:rStyle w:val="VerbatimChar"/>
        </w:rPr>
        <w:t>LICENCE.docx</w:t>
      </w:r>
      <w:r>
        <w:t>.</w:t>
      </w:r>
      <w:bookmarkEnd w:id="0"/>
      <w:bookmarkEnd w:id="10"/>
    </w:p>
    <w:sectPr w:rsidR="00BF138B">
      <w:footerReference w:type="default" r:id="rId13"/>
      <w:pgSz w:w="11906" w:h="16838"/>
      <w:pgMar w:top="1247" w:right="1247" w:bottom="1134" w:left="124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79AF" w:rsidRDefault="009E79AF">
      <w:pPr>
        <w:spacing w:after="0"/>
      </w:pPr>
      <w:r>
        <w:separator/>
      </w:r>
    </w:p>
  </w:endnote>
  <w:endnote w:type="continuationSeparator" w:id="0">
    <w:p w:rsidR="009E79AF" w:rsidRDefault="009E79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F138B" w:rsidRDefault="009E79AF">
    <w:pPr>
      <w:jc w:val="center"/>
    </w:pPr>
    <w:r>
      <w:rPr>
        <w:color w:val="7F7F7F"/>
        <w:sz w:val="18"/>
      </w:rPr>
      <w:t xml:space="preserve">02_python_reussite_etudiants — page </w:t>
    </w:r>
    <w:r>
      <w:rPr>
        <w:color w:val="7F7F7F"/>
        <w:sz w:val="18"/>
      </w:rPr>
      <w:fldChar w:fldCharType="begin"/>
    </w:r>
    <w:r>
      <w:rPr>
        <w:color w:val="7F7F7F"/>
        <w:sz w:val="18"/>
      </w:rPr>
      <w:instrText>PAGE</w:instrText>
    </w:r>
    <w:r w:rsidR="007B58E4">
      <w:rPr>
        <w:color w:val="7F7F7F"/>
        <w:sz w:val="18"/>
      </w:rPr>
      <w:fldChar w:fldCharType="separate"/>
    </w:r>
    <w:r w:rsidR="007B58E4">
      <w:rPr>
        <w:noProof/>
        <w:color w:val="7F7F7F"/>
        <w:sz w:val="18"/>
      </w:rPr>
      <w:t>1</w:t>
    </w:r>
    <w:r>
      <w:rPr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79AF" w:rsidRDefault="009E79AF">
      <w:r>
        <w:separator/>
      </w:r>
    </w:p>
  </w:footnote>
  <w:footnote w:type="continuationSeparator" w:id="0">
    <w:p w:rsidR="009E79AF" w:rsidRDefault="009E79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3724D92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70F844C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98F4639A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F138B"/>
    <w:rsid w:val="007B58E4"/>
    <w:rsid w:val="009E79AF"/>
    <w:rsid w:val="00BF138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7088A"/>
  <w15:docId w15:val="{1BF80985-BB70-4CFC-AD96-2D5789AA5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sz w:val="22"/>
    </w:rPr>
  </w:style>
  <w:style w:type="paragraph" w:styleId="Titre1">
    <w:name w:val="heading 1"/>
    <w:basedOn w:val="Normal"/>
    <w:next w:val="Corpsdetexte"/>
    <w:uiPriority w:val="9"/>
    <w:qFormat/>
    <w:pPr>
      <w:keepNext/>
      <w:keepLines/>
      <w:pBdr>
        <w:bottom w:val="single" w:sz="12" w:space="4" w:color="1F3864"/>
      </w:pBdr>
      <w:spacing w:after="120"/>
      <w:outlineLvl w:val="0"/>
    </w:pPr>
    <w:rPr>
      <w:b/>
      <w:bCs/>
      <w:color w:val="1F3864"/>
      <w:sz w:val="44"/>
      <w:szCs w:val="32"/>
    </w:rPr>
  </w:style>
  <w:style w:type="paragraph" w:styleId="Titre2">
    <w:name w:val="heading 2"/>
    <w:basedOn w:val="Normal"/>
    <w:next w:val="Corpsdetexte"/>
    <w:uiPriority w:val="9"/>
    <w:unhideWhenUsed/>
    <w:qFormat/>
    <w:pPr>
      <w:keepNext/>
      <w:keepLines/>
      <w:spacing w:before="320" w:after="120"/>
      <w:outlineLvl w:val="1"/>
    </w:pPr>
    <w:rPr>
      <w:b/>
      <w:bCs/>
      <w:color w:val="2E5496"/>
      <w:sz w:val="32"/>
      <w:szCs w:val="28"/>
    </w:rPr>
  </w:style>
  <w:style w:type="paragraph" w:styleId="Titre3">
    <w:name w:val="heading 3"/>
    <w:basedOn w:val="Normal"/>
    <w:next w:val="Corpsdetexte"/>
    <w:uiPriority w:val="9"/>
    <w:unhideWhenUsed/>
    <w:qFormat/>
    <w:pPr>
      <w:keepNext/>
      <w:keepLines/>
      <w:spacing w:before="320" w:after="120"/>
      <w:outlineLvl w:val="2"/>
    </w:pPr>
    <w:rPr>
      <w:b/>
      <w:bCs/>
      <w:color w:val="2E5496"/>
      <w:sz w:val="26"/>
    </w:rPr>
  </w:style>
  <w:style w:type="paragraph" w:styleId="Titre4">
    <w:name w:val="heading 4"/>
    <w:basedOn w:val="Normal"/>
    <w:next w:val="Corpsdetexte"/>
    <w:uiPriority w:val="9"/>
    <w:unhideWhenUsed/>
    <w:qFormat/>
    <w:pPr>
      <w:keepNext/>
      <w:keepLines/>
      <w:spacing w:before="320" w:after="120"/>
      <w:outlineLvl w:val="3"/>
    </w:pPr>
    <w:rPr>
      <w:b/>
      <w:bCs/>
      <w:color w:val="2E5496"/>
      <w:sz w:val="24"/>
    </w:rPr>
  </w:style>
  <w:style w:type="paragraph" w:styleId="Titre5">
    <w:name w:val="heading 5"/>
    <w:basedOn w:val="Normal"/>
    <w:next w:val="Corpsdetex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</w:rPr>
  </w:style>
  <w:style w:type="paragraph" w:styleId="Titre6">
    <w:name w:val="heading 6"/>
    <w:basedOn w:val="Normal"/>
    <w:next w:val="Corpsdetex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7">
    <w:name w:val="heading 7"/>
    <w:basedOn w:val="Normal"/>
    <w:next w:val="Corpsdetex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8">
    <w:name w:val="heading 8"/>
    <w:basedOn w:val="Normal"/>
    <w:next w:val="Corpsdetex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</w:rPr>
  </w:style>
  <w:style w:type="paragraph" w:styleId="Titre9">
    <w:name w:val="heading 9"/>
    <w:basedOn w:val="Normal"/>
    <w:next w:val="Corpsdetex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after="120" w:line="276" w:lineRule="auto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40"/>
    </w:pPr>
  </w:style>
  <w:style w:type="paragraph" w:styleId="Titre">
    <w:name w:val="Title"/>
    <w:basedOn w:val="Normal"/>
    <w:next w:val="Corpsdetex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paragraph" w:styleId="Normalcentr">
    <w:name w:val="Block Text"/>
    <w:basedOn w:val="Corpsdetexte"/>
    <w:next w:val="Corpsdetexte"/>
    <w:uiPriority w:val="9"/>
    <w:unhideWhenUsed/>
    <w:qFormat/>
    <w:pPr>
      <w:pBdr>
        <w:left w:val="single" w:sz="24" w:space="8" w:color="2E5496"/>
      </w:pBdr>
      <w:shd w:val="clear" w:color="auto" w:fill="EAF0FA"/>
      <w:spacing w:before="120" w:after="200"/>
      <w:ind w:left="480" w:right="480"/>
    </w:pPr>
    <w:rPr>
      <w:sz w:val="21"/>
    </w:rPr>
  </w:style>
  <w:style w:type="paragraph" w:styleId="Notedebasdepag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  <w:pPr>
      <w:jc w:val="center"/>
    </w:pPr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rPr>
      <w:rFonts w:ascii="Consolas" w:eastAsia="Consolas" w:hAnsi="Consolas" w:cs="Consolas"/>
      <w:color w:val="9C1C4B"/>
      <w:sz w:val="19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rPr>
      <w:rFonts w:ascii="Calibri" w:eastAsia="Calibri" w:hAnsi="Calibri" w:cs="Calibri"/>
      <w:color w:val="2E5496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pPr>
      <w:shd w:val="clear" w:color="auto" w:fill="F2F2F2"/>
      <w:spacing w:after="0"/>
    </w:pPr>
    <w:rPr>
      <w:rFonts w:ascii="Consolas" w:eastAsia="Consolas" w:hAnsi="Consolas" w:cs="Consolas"/>
      <w:sz w:val="18"/>
    </w:rPr>
  </w:style>
  <w:style w:type="character" w:customStyle="1" w:styleId="KeywordTok">
    <w:name w:val="Keyword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DataTypeTok">
    <w:name w:val="DataTypeTok"/>
    <w:basedOn w:val="VerbatimChar"/>
    <w:rPr>
      <w:rFonts w:ascii="Consolas" w:eastAsia="Consolas" w:hAnsi="Consolas" w:cs="Consolas"/>
      <w:color w:val="902000"/>
      <w:sz w:val="19"/>
    </w:rPr>
  </w:style>
  <w:style w:type="character" w:customStyle="1" w:styleId="DecValTok">
    <w:name w:val="DecVal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BaseNTok">
    <w:name w:val="BaseN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FloatTok">
    <w:name w:val="FloatTok"/>
    <w:basedOn w:val="VerbatimChar"/>
    <w:rPr>
      <w:rFonts w:ascii="Consolas" w:eastAsia="Consolas" w:hAnsi="Consolas" w:cs="Consolas"/>
      <w:color w:val="40A070"/>
      <w:sz w:val="19"/>
    </w:rPr>
  </w:style>
  <w:style w:type="character" w:customStyle="1" w:styleId="ConstantTok">
    <w:name w:val="ConstantTok"/>
    <w:basedOn w:val="VerbatimChar"/>
    <w:rPr>
      <w:rFonts w:ascii="Consolas" w:eastAsia="Consolas" w:hAnsi="Consolas" w:cs="Consolas"/>
      <w:color w:val="880000"/>
      <w:sz w:val="19"/>
    </w:rPr>
  </w:style>
  <w:style w:type="character" w:customStyle="1" w:styleId="CharTok">
    <w:name w:val="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CharTok">
    <w:name w:val="SpecialChar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tringTok">
    <w:name w:val="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VerbatimStringTok">
    <w:name w:val="VerbatimStringTok"/>
    <w:basedOn w:val="VerbatimChar"/>
    <w:rPr>
      <w:rFonts w:ascii="Consolas" w:eastAsia="Consolas" w:hAnsi="Consolas" w:cs="Consolas"/>
      <w:color w:val="4070A0"/>
      <w:sz w:val="19"/>
    </w:rPr>
  </w:style>
  <w:style w:type="character" w:customStyle="1" w:styleId="SpecialStringTok">
    <w:name w:val="SpecialStringTok"/>
    <w:basedOn w:val="VerbatimChar"/>
    <w:rPr>
      <w:rFonts w:ascii="Consolas" w:eastAsia="Consolas" w:hAnsi="Consolas" w:cs="Consolas"/>
      <w:color w:val="BB6688"/>
      <w:sz w:val="19"/>
    </w:rPr>
  </w:style>
  <w:style w:type="character" w:customStyle="1" w:styleId="ImportTok">
    <w:name w:val="ImportTok"/>
    <w:basedOn w:val="VerbatimChar"/>
    <w:rPr>
      <w:rFonts w:ascii="Consolas" w:eastAsia="Consolas" w:hAnsi="Consolas" w:cs="Consolas"/>
      <w:b/>
      <w:color w:val="008000"/>
      <w:sz w:val="19"/>
    </w:rPr>
  </w:style>
  <w:style w:type="character" w:customStyle="1" w:styleId="CommentTok">
    <w:name w:val="CommentTok"/>
    <w:basedOn w:val="VerbatimChar"/>
    <w:rPr>
      <w:rFonts w:ascii="Consolas" w:eastAsia="Consolas" w:hAnsi="Consolas" w:cs="Consolas"/>
      <w:i/>
      <w:color w:val="60A0B0"/>
      <w:sz w:val="19"/>
    </w:rPr>
  </w:style>
  <w:style w:type="character" w:customStyle="1" w:styleId="DocumentationTok">
    <w:name w:val="DocumentationTok"/>
    <w:basedOn w:val="VerbatimChar"/>
    <w:rPr>
      <w:rFonts w:ascii="Consolas" w:eastAsia="Consolas" w:hAnsi="Consolas" w:cs="Consolas"/>
      <w:i/>
      <w:color w:val="BA2121"/>
      <w:sz w:val="19"/>
    </w:rPr>
  </w:style>
  <w:style w:type="character" w:customStyle="1" w:styleId="AnnotationTok">
    <w:name w:val="Annot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CommentVarTok">
    <w:name w:val="CommentVar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OtherTok">
    <w:name w:val="OtherTok"/>
    <w:basedOn w:val="VerbatimChar"/>
    <w:rPr>
      <w:rFonts w:ascii="Consolas" w:eastAsia="Consolas" w:hAnsi="Consolas" w:cs="Consolas"/>
      <w:color w:val="007020"/>
      <w:sz w:val="19"/>
    </w:rPr>
  </w:style>
  <w:style w:type="character" w:customStyle="1" w:styleId="FunctionTok">
    <w:name w:val="FunctionTok"/>
    <w:basedOn w:val="VerbatimChar"/>
    <w:rPr>
      <w:rFonts w:ascii="Consolas" w:eastAsia="Consolas" w:hAnsi="Consolas" w:cs="Consolas"/>
      <w:color w:val="06287E"/>
      <w:sz w:val="19"/>
    </w:rPr>
  </w:style>
  <w:style w:type="character" w:customStyle="1" w:styleId="VariableTok">
    <w:name w:val="VariableTok"/>
    <w:basedOn w:val="VerbatimChar"/>
    <w:rPr>
      <w:rFonts w:ascii="Consolas" w:eastAsia="Consolas" w:hAnsi="Consolas" w:cs="Consolas"/>
      <w:color w:val="19177C"/>
      <w:sz w:val="19"/>
    </w:rPr>
  </w:style>
  <w:style w:type="character" w:customStyle="1" w:styleId="ControlFlowTok">
    <w:name w:val="ControlFlowTok"/>
    <w:basedOn w:val="VerbatimChar"/>
    <w:rPr>
      <w:rFonts w:ascii="Consolas" w:eastAsia="Consolas" w:hAnsi="Consolas" w:cs="Consolas"/>
      <w:b/>
      <w:color w:val="007020"/>
      <w:sz w:val="19"/>
    </w:rPr>
  </w:style>
  <w:style w:type="character" w:customStyle="1" w:styleId="OperatorTok">
    <w:name w:val="OperatorTok"/>
    <w:basedOn w:val="VerbatimChar"/>
    <w:rPr>
      <w:rFonts w:ascii="Consolas" w:eastAsia="Consolas" w:hAnsi="Consolas" w:cs="Consolas"/>
      <w:color w:val="666666"/>
      <w:sz w:val="19"/>
    </w:rPr>
  </w:style>
  <w:style w:type="character" w:customStyle="1" w:styleId="BuiltInTok">
    <w:name w:val="BuiltInTok"/>
    <w:basedOn w:val="VerbatimChar"/>
    <w:rPr>
      <w:rFonts w:ascii="Consolas" w:eastAsia="Consolas" w:hAnsi="Consolas" w:cs="Consolas"/>
      <w:color w:val="008000"/>
      <w:sz w:val="19"/>
    </w:rPr>
  </w:style>
  <w:style w:type="character" w:customStyle="1" w:styleId="ExtensionTok">
    <w:name w:val="ExtensionTok"/>
    <w:basedOn w:val="VerbatimChar"/>
    <w:rPr>
      <w:rFonts w:ascii="Consolas" w:eastAsia="Consolas" w:hAnsi="Consolas" w:cs="Consolas"/>
      <w:color w:val="9C1C4B"/>
      <w:sz w:val="19"/>
    </w:rPr>
  </w:style>
  <w:style w:type="character" w:customStyle="1" w:styleId="PreprocessorTok">
    <w:name w:val="PreprocessorTok"/>
    <w:basedOn w:val="VerbatimChar"/>
    <w:rPr>
      <w:rFonts w:ascii="Consolas" w:eastAsia="Consolas" w:hAnsi="Consolas" w:cs="Consolas"/>
      <w:color w:val="BC7A00"/>
      <w:sz w:val="19"/>
    </w:rPr>
  </w:style>
  <w:style w:type="character" w:customStyle="1" w:styleId="AttributeTok">
    <w:name w:val="AttributeTok"/>
    <w:basedOn w:val="VerbatimChar"/>
    <w:rPr>
      <w:rFonts w:ascii="Consolas" w:eastAsia="Consolas" w:hAnsi="Consolas" w:cs="Consolas"/>
      <w:color w:val="7D9029"/>
      <w:sz w:val="19"/>
    </w:rPr>
  </w:style>
  <w:style w:type="character" w:customStyle="1" w:styleId="RegionMarkerTok">
    <w:name w:val="RegionMarkerTok"/>
    <w:basedOn w:val="VerbatimChar"/>
    <w:rPr>
      <w:rFonts w:ascii="Consolas" w:eastAsia="Consolas" w:hAnsi="Consolas" w:cs="Consolas"/>
      <w:color w:val="9C1C4B"/>
      <w:sz w:val="19"/>
    </w:rPr>
  </w:style>
  <w:style w:type="character" w:customStyle="1" w:styleId="InformationTok">
    <w:name w:val="Information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WarningTok">
    <w:name w:val="WarningTok"/>
    <w:basedOn w:val="VerbatimChar"/>
    <w:rPr>
      <w:rFonts w:ascii="Consolas" w:eastAsia="Consolas" w:hAnsi="Consolas" w:cs="Consolas"/>
      <w:b/>
      <w:i/>
      <w:color w:val="60A0B0"/>
      <w:sz w:val="19"/>
    </w:rPr>
  </w:style>
  <w:style w:type="character" w:customStyle="1" w:styleId="AlertTok">
    <w:name w:val="Alert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ErrorTok">
    <w:name w:val="ErrorTok"/>
    <w:basedOn w:val="VerbatimChar"/>
    <w:rPr>
      <w:rFonts w:ascii="Consolas" w:eastAsia="Consolas" w:hAnsi="Consolas" w:cs="Consolas"/>
      <w:b/>
      <w:color w:val="FF0000"/>
      <w:sz w:val="19"/>
    </w:rPr>
  </w:style>
  <w:style w:type="character" w:customStyle="1" w:styleId="NormalTok">
    <w:name w:val="NormalTok"/>
    <w:basedOn w:val="VerbatimChar"/>
    <w:rPr>
      <w:rFonts w:ascii="Consolas" w:eastAsia="Consolas" w:hAnsi="Consolas" w:cs="Consolas"/>
      <w:color w:val="9C1C4B"/>
      <w:sz w:val="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542</Words>
  <Characters>2985</Characters>
  <Application>Microsoft Office Word</Application>
  <DocSecurity>0</DocSecurity>
  <Lines>24</Lines>
  <Paragraphs>7</Paragraphs>
  <ScaleCrop>false</ScaleCrop>
  <Company/>
  <LinksUpToDate>false</LinksUpToDate>
  <CharactersWithSpaces>3520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Génial Hyacinthe AZONNAKPO</cp:lastModifiedBy>
  <cp:revision>3</cp:revision>
  <dcterms:created xsi:type="dcterms:W3CDTF">2026-10-11T09:50:00Z</dcterms:created>
  <dcterms:modified xsi:type="dcterms:W3CDTF">2026-10-17T01:23:00Z</dcterms:modified>
  <dc:language>fr-FR</dc:language>
</cp:coreProperties>
</file>