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rojet-02-résultats-de-lanalyse"/>
    <w:p>
      <w:pPr>
        <w:pStyle w:val="Heading1"/>
      </w:pPr>
      <w:r>
        <w:t xml:space="preserve">Projet 02 — Résultats de l'analyse</w:t>
      </w:r>
    </w:p>
    <w:bookmarkStart w:id="20" w:name="contrôle-de-qualité"/>
    <w:p>
      <w:pPr>
        <w:pStyle w:val="Heading2"/>
      </w:pPr>
      <w:r>
        <w:t xml:space="preserve">1. Contrôle de qualité</w:t>
      </w:r>
    </w:p>
    <w:p>
      <w:pPr>
        <w:numPr>
          <w:ilvl w:val="0"/>
          <w:numId w:val="1001"/>
        </w:numPr>
        <w:pStyle w:val="Compact"/>
      </w:pPr>
      <w:r>
        <w:t xml:space="preserve">Dimensions : 240 étudiants × 7 variables</w:t>
      </w:r>
    </w:p>
    <w:p>
      <w:pPr>
        <w:numPr>
          <w:ilvl w:val="0"/>
          <w:numId w:val="1001"/>
        </w:numPr>
        <w:pStyle w:val="Compact"/>
      </w:pPr>
      <w:r>
        <w:t xml:space="preserve">Valeurs manquantes : 0</w:t>
      </w:r>
    </w:p>
    <w:p>
      <w:pPr>
        <w:numPr>
          <w:ilvl w:val="0"/>
          <w:numId w:val="1001"/>
        </w:numPr>
        <w:pStyle w:val="Compact"/>
      </w:pPr>
      <w:r>
        <w:t xml:space="preserve">Lignes en double : 0 ; identifiants en double : 0</w:t>
      </w:r>
    </w:p>
    <w:p>
      <w:pPr>
        <w:numPr>
          <w:ilvl w:val="0"/>
          <w:numId w:val="1001"/>
        </w:numPr>
        <w:pStyle w:val="Compact"/>
      </w:pPr>
      <w:r>
        <w:t xml:space="preserve">Contrôle « assiduité comprise entre 0 et 100 % » : OK</w:t>
      </w:r>
    </w:p>
    <w:p>
      <w:pPr>
        <w:numPr>
          <w:ilvl w:val="0"/>
          <w:numId w:val="1001"/>
        </w:numPr>
        <w:pStyle w:val="Compact"/>
      </w:pPr>
      <w:r>
        <w:t xml:space="preserve">Contrôle « notes comprises entre 0 et 20 » : OK</w:t>
      </w:r>
    </w:p>
    <w:p>
      <w:pPr>
        <w:numPr>
          <w:ilvl w:val="0"/>
          <w:numId w:val="1001"/>
        </w:numPr>
        <w:pStyle w:val="Compact"/>
      </w:pPr>
      <w:r>
        <w:t xml:space="preserve">Contrôle « heures d'étude positives » : OK</w:t>
      </w:r>
    </w:p>
    <w:p>
      <w:pPr>
        <w:numPr>
          <w:ilvl w:val="0"/>
          <w:numId w:val="1001"/>
        </w:numPr>
        <w:pStyle w:val="Compact"/>
      </w:pPr>
      <w:r>
        <w:t xml:space="preserve">Contrôle « « passed » cohérent avec le seuil de 10/20 sur la moyenne finale » : OK</w:t>
      </w:r>
    </w:p>
    <w:bookmarkEnd w:id="20"/>
    <w:bookmarkStart w:id="21" w:name="statistiques-descriptives"/>
    <w:p>
      <w:pPr>
        <w:pStyle w:val="Heading2"/>
      </w:pPr>
      <w:r>
        <w:t xml:space="preserve">2. Statistiques descriptives</w:t>
      </w:r>
    </w:p>
    <w:p>
      <w:pPr>
        <w:numPr>
          <w:ilvl w:val="0"/>
          <w:numId w:val="1002"/>
        </w:numPr>
        <w:pStyle w:val="Compact"/>
      </w:pPr>
      <w:r>
        <w:t xml:space="preserve">Taux de réussite (moyenne finale ≥ 10) : 60,4 % (145 étudiants sur 240)</w:t>
      </w:r>
    </w:p>
    <w:p>
      <w:pPr>
        <w:numPr>
          <w:ilvl w:val="0"/>
          <w:numId w:val="1002"/>
        </w:numPr>
        <w:pStyle w:val="Compact"/>
      </w:pPr>
      <w:r>
        <w:t xml:space="preserve">Moyenne finale : 10,46 /20 (médiane 10,55 ; écart-type 1,62 ; min 5,97 ; max 15,01)</w:t>
      </w:r>
    </w:p>
    <w:p>
      <w:pPr>
        <w:numPr>
          <w:ilvl w:val="0"/>
          <w:numId w:val="1002"/>
        </w:numPr>
        <w:pStyle w:val="Compact"/>
      </w:pPr>
      <w:r>
        <w:t xml:space="preserve">Heures d'étude hebdomadaires : moyenne 11,8 h (médiane 11,6 h)</w:t>
      </w:r>
    </w:p>
    <w:p>
      <w:pPr>
        <w:numPr>
          <w:ilvl w:val="0"/>
          <w:numId w:val="1002"/>
        </w:numPr>
        <w:pStyle w:val="Compact"/>
      </w:pPr>
      <w:r>
        <w:t xml:space="preserve">Assiduité : moyenne 82,1 %</w:t>
      </w:r>
    </w:p>
    <w:p>
      <w:pPr>
        <w:pStyle w:val="FirstParagraph"/>
      </w:pPr>
      <w:r>
        <w:t xml:space="preserve">Moyennes selon le résultat :</w:t>
      </w:r>
    </w:p>
    <w:tbl>
      <w:tblPr>
        <w:tblStyle w:val="Table"/>
        <w:tblW w:type="pct" w:w="5000"/>
        <w:jc w:val="center"/>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100" w:type="dxa"/>
          <w:bottom w:w="50" w:type="dxa"/>
          <w:right w:w="100" w:type="dxa"/>
        </w:tblCellMar>
      </w:tblPr>
      <w:tblGrid>
        <w:gridCol w:w="1320"/>
        <w:gridCol w:w="1320"/>
        <w:gridCol w:w="1320"/>
        <w:gridCol w:w="1320"/>
        <w:gridCol w:w="1320"/>
        <w:gridCol w:w="1320"/>
      </w:tblGrid>
      <w:tr>
        <w:trPr>
          <w:cantSplit/>
          <w:tblHeader w:val="true"/>
          <w:tblHeader w:val="true"/>
        </w:trPr>
        <w:tc>
          <w:tcPr>
            <w:shd w:val="clear" w:color="auto" w:fill="1F3864"/>
          </w:tcPr>
          <w:p>
            <w:pPr>
              <w:pStyle w:val="Compact"/>
              <w:spacing w:after="0"/>
              <w:jc w:val="left"/>
            </w:pPr>
            <w:r>
              <w:rPr>
                <w:b/>
                <w:color w:val="FFFFFF"/>
                <w:sz w:val="20"/>
              </w:rPr>
              <w:t xml:space="preserve">Résultat</w:t>
            </w:r>
          </w:p>
        </w:tc>
        <w:tc>
          <w:tcPr>
            <w:shd w:val="clear" w:color="auto" w:fill="1F3864"/>
          </w:tcPr>
          <w:p>
            <w:pPr>
              <w:pStyle w:val="Compact"/>
              <w:spacing w:after="0"/>
              <w:jc w:val="left"/>
            </w:pPr>
            <w:r>
              <w:rPr>
                <w:b/>
                <w:color w:val="FFFFFF"/>
                <w:sz w:val="20"/>
              </w:rPr>
              <w:t xml:space="preserve">Heures d'étude</w:t>
            </w:r>
          </w:p>
        </w:tc>
        <w:tc>
          <w:tcPr>
            <w:shd w:val="clear" w:color="auto" w:fill="1F3864"/>
          </w:tcPr>
          <w:p>
            <w:pPr>
              <w:pStyle w:val="Compact"/>
              <w:spacing w:after="0"/>
              <w:jc w:val="left"/>
            </w:pPr>
            <w:r>
              <w:rPr>
                <w:b/>
                <w:color w:val="FFFFFF"/>
                <w:sz w:val="20"/>
              </w:rPr>
              <w:t xml:space="preserve">Assiduité (%)</w:t>
            </w:r>
          </w:p>
        </w:tc>
        <w:tc>
          <w:tcPr>
            <w:shd w:val="clear" w:color="auto" w:fill="1F3864"/>
          </w:tcPr>
          <w:p>
            <w:pPr>
              <w:pStyle w:val="Compact"/>
              <w:spacing w:after="0"/>
              <w:jc w:val="left"/>
            </w:pPr>
            <w:r>
              <w:rPr>
                <w:b/>
                <w:color w:val="FFFFFF"/>
                <w:sz w:val="20"/>
              </w:rPr>
              <w:t xml:space="preserve">Devoirs</w:t>
            </w:r>
          </w:p>
        </w:tc>
        <w:tc>
          <w:tcPr>
            <w:shd w:val="clear" w:color="auto" w:fill="1F3864"/>
          </w:tcPr>
          <w:p>
            <w:pPr>
              <w:pStyle w:val="Compact"/>
              <w:spacing w:after="0"/>
              <w:jc w:val="left"/>
            </w:pPr>
            <w:r>
              <w:rPr>
                <w:b/>
                <w:color w:val="FFFFFF"/>
                <w:sz w:val="20"/>
              </w:rPr>
              <w:t xml:space="preserve">Statistique</w:t>
            </w:r>
          </w:p>
        </w:tc>
        <w:tc>
          <w:tcPr>
            <w:shd w:val="clear" w:color="auto" w:fill="1F3864"/>
          </w:tcPr>
          <w:p>
            <w:pPr>
              <w:pStyle w:val="Compact"/>
              <w:spacing w:after="0"/>
              <w:jc w:val="left"/>
            </w:pPr>
            <w:r>
              <w:rPr>
                <w:b/>
                <w:color w:val="FFFFFF"/>
                <w:sz w:val="20"/>
              </w:rPr>
              <w:t xml:space="preserve">Moyenne finale</w:t>
            </w:r>
          </w:p>
        </w:tc>
      </w:tr>
      <w:tr>
        <w:trPr>
          <w:cantSplit/>
        </w:trPr>
        <w:tc>
          <w:tcPr/>
          <w:p>
            <w:pPr>
              <w:pStyle w:val="Compact"/>
              <w:spacing w:after="0"/>
              <w:jc w:val="left"/>
            </w:pPr>
            <w:r>
              <w:rPr>
                <w:sz w:val="20"/>
              </w:rPr>
              <w:t xml:space="preserve">Échec</w:t>
            </w:r>
          </w:p>
        </w:tc>
        <w:tc>
          <w:tcPr/>
          <w:p>
            <w:pPr>
              <w:pStyle w:val="Compact"/>
              <w:spacing w:after="0"/>
              <w:jc w:val="left"/>
            </w:pPr>
            <w:r>
              <w:rPr>
                <w:sz w:val="20"/>
              </w:rPr>
              <w:t xml:space="preserve">10,78</w:t>
            </w:r>
          </w:p>
        </w:tc>
        <w:tc>
          <w:tcPr/>
          <w:p>
            <w:pPr>
              <w:pStyle w:val="Compact"/>
              <w:spacing w:after="0"/>
              <w:jc w:val="left"/>
            </w:pPr>
            <w:r>
              <w:rPr>
                <w:sz w:val="20"/>
              </w:rPr>
              <w:t xml:space="preserve">80,67</w:t>
            </w:r>
          </w:p>
        </w:tc>
        <w:tc>
          <w:tcPr/>
          <w:p>
            <w:pPr>
              <w:pStyle w:val="Compact"/>
              <w:spacing w:after="0"/>
              <w:jc w:val="left"/>
            </w:pPr>
            <w:r>
              <w:rPr>
                <w:sz w:val="20"/>
              </w:rPr>
              <w:t xml:space="preserve">12,42</w:t>
            </w:r>
          </w:p>
        </w:tc>
        <w:tc>
          <w:tcPr/>
          <w:p>
            <w:pPr>
              <w:pStyle w:val="Compact"/>
              <w:spacing w:after="0"/>
              <w:jc w:val="left"/>
            </w:pPr>
            <w:r>
              <w:rPr>
                <w:sz w:val="20"/>
              </w:rPr>
              <w:t xml:space="preserve">11,18</w:t>
            </w:r>
          </w:p>
        </w:tc>
        <w:tc>
          <w:tcPr/>
          <w:p>
            <w:pPr>
              <w:pStyle w:val="Compact"/>
              <w:spacing w:after="0"/>
              <w:jc w:val="left"/>
            </w:pPr>
            <w:r>
              <w:rPr>
                <w:sz w:val="20"/>
              </w:rPr>
              <w:t xml:space="preserve">8,87</w:t>
            </w:r>
          </w:p>
        </w:tc>
      </w:tr>
      <w:tr>
        <w:trPr>
          <w:cantSplit/>
        </w:trPr>
        <w:tc>
          <w:tcPr>
            <w:shd w:val="clear" w:color="auto" w:fill="F2F6FC"/>
          </w:tcPr>
          <w:p>
            <w:pPr>
              <w:pStyle w:val="Compact"/>
              <w:spacing w:after="0"/>
              <w:jc w:val="left"/>
            </w:pPr>
            <w:r>
              <w:rPr>
                <w:sz w:val="20"/>
              </w:rPr>
              <w:t xml:space="preserve">Réussite</w:t>
            </w:r>
          </w:p>
        </w:tc>
        <w:tc>
          <w:tcPr>
            <w:shd w:val="clear" w:color="auto" w:fill="F2F6FC"/>
          </w:tcPr>
          <w:p>
            <w:pPr>
              <w:pStyle w:val="Compact"/>
              <w:spacing w:after="0"/>
              <w:jc w:val="left"/>
            </w:pPr>
            <w:r>
              <w:rPr>
                <w:sz w:val="20"/>
              </w:rPr>
              <w:t xml:space="preserve">12,49</w:t>
            </w:r>
          </w:p>
        </w:tc>
        <w:tc>
          <w:tcPr>
            <w:shd w:val="clear" w:color="auto" w:fill="F2F6FC"/>
          </w:tcPr>
          <w:p>
            <w:pPr>
              <w:pStyle w:val="Compact"/>
              <w:spacing w:after="0"/>
              <w:jc w:val="left"/>
            </w:pPr>
            <w:r>
              <w:rPr>
                <w:sz w:val="20"/>
              </w:rPr>
              <w:t xml:space="preserve">83,07</w:t>
            </w:r>
          </w:p>
        </w:tc>
        <w:tc>
          <w:tcPr>
            <w:shd w:val="clear" w:color="auto" w:fill="F2F6FC"/>
          </w:tcPr>
          <w:p>
            <w:pPr>
              <w:pStyle w:val="Compact"/>
              <w:spacing w:after="0"/>
              <w:jc w:val="left"/>
            </w:pPr>
            <w:r>
              <w:rPr>
                <w:sz w:val="20"/>
              </w:rPr>
              <w:t xml:space="preserve">12,19</w:t>
            </w:r>
          </w:p>
        </w:tc>
        <w:tc>
          <w:tcPr>
            <w:shd w:val="clear" w:color="auto" w:fill="F2F6FC"/>
          </w:tcPr>
          <w:p>
            <w:pPr>
              <w:pStyle w:val="Compact"/>
              <w:spacing w:after="0"/>
              <w:jc w:val="left"/>
            </w:pPr>
            <w:r>
              <w:rPr>
                <w:sz w:val="20"/>
              </w:rPr>
              <w:t xml:space="preserve">13,83</w:t>
            </w:r>
          </w:p>
        </w:tc>
        <w:tc>
          <w:tcPr>
            <w:shd w:val="clear" w:color="auto" w:fill="F2F6FC"/>
          </w:tcPr>
          <w:p>
            <w:pPr>
              <w:pStyle w:val="Compact"/>
              <w:spacing w:after="0"/>
              <w:jc w:val="left"/>
            </w:pPr>
            <w:r>
              <w:rPr>
                <w:sz w:val="20"/>
              </w:rPr>
              <w:t xml:space="preserve">11,50</w:t>
            </w:r>
          </w:p>
        </w:tc>
      </w:tr>
    </w:tbl>
    <w:bookmarkEnd w:id="21"/>
    <w:bookmarkStart w:id="22" w:name="corrélations-avec-la-moyenne-finale"/>
    <w:p>
      <w:pPr>
        <w:pStyle w:val="Heading2"/>
      </w:pPr>
      <w:r>
        <w:t xml:space="preserve">3. Corrélations avec la moyenne finale</w:t>
      </w:r>
    </w:p>
    <w:tbl>
      <w:tblPr>
        <w:tblStyle w:val="Table"/>
        <w:tblW w:type="auto" w:w="0"/>
        <w:jc w:val="center"/>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100" w:type="dxa"/>
          <w:bottom w:w="50" w:type="dxa"/>
          <w:right w:w="100" w:type="dxa"/>
        </w:tblCellMar>
      </w:tblPr>
      <w:tblGrid>
        <w:gridCol w:w="1584"/>
        <w:gridCol w:w="1584"/>
        <w:gridCol w:w="1584"/>
        <w:gridCol w:w="1584"/>
        <w:gridCol w:w="1584"/>
      </w:tblGrid>
      <w:tr>
        <w:trPr>
          <w:cantSplit/>
          <w:tblHeader w:val="true"/>
          <w:tblHeader w:val="true"/>
        </w:trPr>
        <w:tc>
          <w:tcPr>
            <w:shd w:val="clear" w:color="auto" w:fill="1F3864"/>
          </w:tcPr>
          <w:p>
            <w:pPr>
              <w:pStyle w:val="Compact"/>
              <w:spacing w:after="0"/>
              <w:jc w:val="left"/>
            </w:pPr>
            <w:r>
              <w:rPr>
                <w:b/>
                <w:color w:val="FFFFFF"/>
                <w:sz w:val="20"/>
              </w:rPr>
              <w:t xml:space="preserve">Variable</w:t>
            </w:r>
          </w:p>
        </w:tc>
        <w:tc>
          <w:tcPr>
            <w:shd w:val="clear" w:color="auto" w:fill="1F3864"/>
          </w:tcPr>
          <w:p>
            <w:pPr>
              <w:pStyle w:val="Compact"/>
              <w:spacing w:after="0"/>
              <w:jc w:val="left"/>
            </w:pPr>
            <w:r>
              <w:rPr>
                <w:b/>
                <w:color w:val="FFFFFF"/>
                <w:sz w:val="20"/>
              </w:rPr>
              <w:t xml:space="preserve">r de Pearson</w:t>
            </w:r>
          </w:p>
        </w:tc>
        <w:tc>
          <w:tcPr>
            <w:shd w:val="clear" w:color="auto" w:fill="1F3864"/>
          </w:tcPr>
          <w:p>
            <w:pPr>
              <w:pStyle w:val="Compact"/>
              <w:spacing w:after="0"/>
              <w:jc w:val="left"/>
            </w:pPr>
            <w:r>
              <w:rPr>
                <w:b/>
                <w:color w:val="FFFFFF"/>
                <w:sz w:val="20"/>
              </w:rPr>
              <w:t xml:space="preserve">IC à 95 %</w:t>
            </w:r>
          </w:p>
        </w:tc>
        <w:tc>
          <w:tcPr>
            <w:shd w:val="clear" w:color="auto" w:fill="1F3864"/>
          </w:tcPr>
          <w:p>
            <w:pPr>
              <w:pStyle w:val="Compact"/>
              <w:spacing w:after="0"/>
              <w:jc w:val="left"/>
            </w:pPr>
            <w:r>
              <w:rPr>
                <w:b/>
                <w:color w:val="FFFFFF"/>
                <w:sz w:val="20"/>
              </w:rPr>
              <w:t xml:space="preserve">Spearman</w:t>
            </w:r>
          </w:p>
        </w:tc>
        <w:tc>
          <w:tcPr>
            <w:shd w:val="clear" w:color="auto" w:fill="1F3864"/>
          </w:tcPr>
          <w:p>
            <w:pPr>
              <w:pStyle w:val="Compact"/>
              <w:spacing w:after="0"/>
              <w:jc w:val="left"/>
            </w:pPr>
            <w:r>
              <w:rPr>
                <w:b/>
                <w:color w:val="FFFFFF"/>
                <w:sz w:val="20"/>
              </w:rPr>
              <w:t xml:space="preserve">p-valeur</w:t>
            </w:r>
          </w:p>
        </w:tc>
      </w:tr>
      <w:tr>
        <w:trPr>
          <w:cantSplit/>
        </w:trPr>
        <w:tc>
          <w:tcPr/>
          <w:p>
            <w:pPr>
              <w:pStyle w:val="Compact"/>
              <w:spacing w:after="0"/>
              <w:jc w:val="left"/>
            </w:pPr>
            <w:r>
              <w:rPr>
                <w:sz w:val="20"/>
              </w:rPr>
              <w:t xml:space="preserve">Moyenne en statistique</w:t>
            </w:r>
          </w:p>
        </w:tc>
        <w:tc>
          <w:tcPr/>
          <w:p>
            <w:pPr>
              <w:pStyle w:val="Compact"/>
              <w:spacing w:after="0"/>
              <w:jc w:val="left"/>
            </w:pPr>
            <w:r>
              <w:rPr>
                <w:sz w:val="20"/>
              </w:rPr>
              <w:t xml:space="preserve">0,72</w:t>
            </w:r>
          </w:p>
        </w:tc>
        <w:tc>
          <w:tcPr/>
          <w:p>
            <w:pPr>
              <w:pStyle w:val="Compact"/>
              <w:spacing w:after="0"/>
              <w:jc w:val="left"/>
            </w:pPr>
            <w:r>
              <w:rPr>
                <w:sz w:val="20"/>
              </w:rPr>
              <w:t xml:space="preserve">[0,65 ; 0,78]</w:t>
            </w:r>
          </w:p>
        </w:tc>
        <w:tc>
          <w:tcPr/>
          <w:p>
            <w:pPr>
              <w:pStyle w:val="Compact"/>
              <w:spacing w:after="0"/>
              <w:jc w:val="left"/>
            </w:pPr>
            <w:r>
              <w:rPr>
                <w:sz w:val="20"/>
              </w:rPr>
              <w:t xml:space="preserve">0,71</w:t>
            </w:r>
          </w:p>
        </w:tc>
        <w:tc>
          <w:tcPr/>
          <w:p>
            <w:pPr>
              <w:pStyle w:val="Compact"/>
              <w:spacing w:after="0"/>
              <w:jc w:val="left"/>
            </w:pPr>
            <w:r>
              <w:rPr>
                <w:sz w:val="20"/>
              </w:rPr>
              <w:t xml:space="preserve">&lt; 0,001</w:t>
            </w:r>
          </w:p>
        </w:tc>
      </w:tr>
      <w:tr>
        <w:trPr>
          <w:cantSplit/>
        </w:trPr>
        <w:tc>
          <w:tcPr>
            <w:shd w:val="clear" w:color="auto" w:fill="F2F6FC"/>
          </w:tcPr>
          <w:p>
            <w:pPr>
              <w:pStyle w:val="Compact"/>
              <w:spacing w:after="0"/>
              <w:jc w:val="left"/>
            </w:pPr>
            <w:r>
              <w:rPr>
                <w:sz w:val="20"/>
              </w:rPr>
              <w:t xml:space="preserve">Heures d'étude par semaine</w:t>
            </w:r>
          </w:p>
        </w:tc>
        <w:tc>
          <w:tcPr>
            <w:shd w:val="clear" w:color="auto" w:fill="F2F6FC"/>
          </w:tcPr>
          <w:p>
            <w:pPr>
              <w:pStyle w:val="Compact"/>
              <w:spacing w:after="0"/>
              <w:jc w:val="left"/>
            </w:pPr>
            <w:r>
              <w:rPr>
                <w:sz w:val="20"/>
              </w:rPr>
              <w:t xml:space="preserve">0,29</w:t>
            </w:r>
          </w:p>
        </w:tc>
        <w:tc>
          <w:tcPr>
            <w:shd w:val="clear" w:color="auto" w:fill="F2F6FC"/>
          </w:tcPr>
          <w:p>
            <w:pPr>
              <w:pStyle w:val="Compact"/>
              <w:spacing w:after="0"/>
              <w:jc w:val="left"/>
            </w:pPr>
            <w:r>
              <w:rPr>
                <w:sz w:val="20"/>
              </w:rPr>
              <w:t xml:space="preserve">[0,17 ; 0,40]</w:t>
            </w:r>
          </w:p>
        </w:tc>
        <w:tc>
          <w:tcPr>
            <w:shd w:val="clear" w:color="auto" w:fill="F2F6FC"/>
          </w:tcPr>
          <w:p>
            <w:pPr>
              <w:pStyle w:val="Compact"/>
              <w:spacing w:after="0"/>
              <w:jc w:val="left"/>
            </w:pPr>
            <w:r>
              <w:rPr>
                <w:sz w:val="20"/>
              </w:rPr>
              <w:t xml:space="preserve">0,26</w:t>
            </w:r>
          </w:p>
        </w:tc>
        <w:tc>
          <w:tcPr>
            <w:shd w:val="clear" w:color="auto" w:fill="F2F6FC"/>
          </w:tcPr>
          <w:p>
            <w:pPr>
              <w:pStyle w:val="Compact"/>
              <w:spacing w:after="0"/>
              <w:jc w:val="left"/>
            </w:pPr>
            <w:r>
              <w:rPr>
                <w:sz w:val="20"/>
              </w:rPr>
              <w:t xml:space="preserve">&lt; 0,001</w:t>
            </w:r>
          </w:p>
        </w:tc>
      </w:tr>
      <w:tr>
        <w:trPr>
          <w:cantSplit/>
        </w:trPr>
        <w:tc>
          <w:tcPr/>
          <w:p>
            <w:pPr>
              <w:pStyle w:val="Compact"/>
              <w:spacing w:after="0"/>
              <w:jc w:val="left"/>
            </w:pPr>
            <w:r>
              <w:rPr>
                <w:sz w:val="20"/>
              </w:rPr>
              <w:t xml:space="preserve">Assiduité (%)</w:t>
            </w:r>
          </w:p>
        </w:tc>
        <w:tc>
          <w:tcPr/>
          <w:p>
            <w:pPr>
              <w:pStyle w:val="Compact"/>
              <w:spacing w:after="0"/>
              <w:jc w:val="left"/>
            </w:pPr>
            <w:r>
              <w:rPr>
                <w:sz w:val="20"/>
              </w:rPr>
              <w:t xml:space="preserve">0,16</w:t>
            </w:r>
          </w:p>
        </w:tc>
        <w:tc>
          <w:tcPr/>
          <w:p>
            <w:pPr>
              <w:pStyle w:val="Compact"/>
              <w:spacing w:after="0"/>
              <w:jc w:val="left"/>
            </w:pPr>
            <w:r>
              <w:rPr>
                <w:sz w:val="20"/>
              </w:rPr>
              <w:t xml:space="preserve">[0,03 ; 0,28]</w:t>
            </w:r>
          </w:p>
        </w:tc>
        <w:tc>
          <w:tcPr/>
          <w:p>
            <w:pPr>
              <w:pStyle w:val="Compact"/>
              <w:spacing w:after="0"/>
              <w:jc w:val="left"/>
            </w:pPr>
            <w:r>
              <w:rPr>
                <w:sz w:val="20"/>
              </w:rPr>
              <w:t xml:space="preserve">0,13</w:t>
            </w:r>
          </w:p>
        </w:tc>
        <w:tc>
          <w:tcPr/>
          <w:p>
            <w:pPr>
              <w:pStyle w:val="Compact"/>
              <w:spacing w:after="0"/>
              <w:jc w:val="left"/>
            </w:pPr>
            <w:r>
              <w:rPr>
                <w:sz w:val="20"/>
              </w:rPr>
              <w:t xml:space="preserve">0,015</w:t>
            </w:r>
          </w:p>
        </w:tc>
      </w:tr>
      <w:tr>
        <w:trPr>
          <w:cantSplit/>
        </w:trPr>
        <w:tc>
          <w:tcPr>
            <w:shd w:val="clear" w:color="auto" w:fill="F2F6FC"/>
          </w:tcPr>
          <w:p>
            <w:pPr>
              <w:pStyle w:val="Compact"/>
              <w:spacing w:after="0"/>
              <w:jc w:val="left"/>
            </w:pPr>
            <w:r>
              <w:rPr>
                <w:sz w:val="20"/>
              </w:rPr>
              <w:t xml:space="preserve">Moyenne des devoirs</w:t>
            </w:r>
          </w:p>
        </w:tc>
        <w:tc>
          <w:tcPr>
            <w:shd w:val="clear" w:color="auto" w:fill="F2F6FC"/>
          </w:tcPr>
          <w:p>
            <w:pPr>
              <w:pStyle w:val="Compact"/>
              <w:spacing w:after="0"/>
              <w:jc w:val="left"/>
            </w:pPr>
            <w:r>
              <w:rPr>
                <w:sz w:val="20"/>
              </w:rPr>
              <w:t xml:space="preserve">0,01</w:t>
            </w:r>
          </w:p>
        </w:tc>
        <w:tc>
          <w:tcPr>
            <w:shd w:val="clear" w:color="auto" w:fill="F2F6FC"/>
          </w:tcPr>
          <w:p>
            <w:pPr>
              <w:pStyle w:val="Compact"/>
              <w:spacing w:after="0"/>
              <w:jc w:val="left"/>
            </w:pPr>
            <w:r>
              <w:rPr>
                <w:sz w:val="20"/>
              </w:rPr>
              <w:t xml:space="preserve">[-0,11 ; 0,14]</w:t>
            </w:r>
          </w:p>
        </w:tc>
        <w:tc>
          <w:tcPr>
            <w:shd w:val="clear" w:color="auto" w:fill="F2F6FC"/>
          </w:tcPr>
          <w:p>
            <w:pPr>
              <w:pStyle w:val="Compact"/>
              <w:spacing w:after="0"/>
              <w:jc w:val="left"/>
            </w:pPr>
            <w:r>
              <w:rPr>
                <w:sz w:val="20"/>
              </w:rPr>
              <w:t xml:space="preserve">0,03</w:t>
            </w:r>
          </w:p>
        </w:tc>
        <w:tc>
          <w:tcPr>
            <w:shd w:val="clear" w:color="auto" w:fill="F2F6FC"/>
          </w:tcPr>
          <w:p>
            <w:pPr>
              <w:pStyle w:val="Compact"/>
              <w:spacing w:after="0"/>
              <w:jc w:val="left"/>
            </w:pPr>
            <w:r>
              <w:rPr>
                <w:sz w:val="20"/>
              </w:rPr>
              <w:t xml:space="preserve">0,826</w:t>
            </w:r>
          </w:p>
        </w:tc>
      </w:tr>
    </w:tbl>
    <w:p>
      <w:pPr>
        <w:pStyle w:val="BodyText"/>
      </w:pPr>
      <w:r>
        <w:t xml:space="preserve">Une corrélation mesure une association linéaire, pas une causalité. La note de statistique entrant vraisemblablement dans le calcul de la moyenne finale, sa forte corrélation est en partie mécanique et ne doit pas être lue comme un « facteur » indépendant.</w:t>
      </w:r>
    </w:p>
    <w:bookmarkEnd w:id="22"/>
    <w:bookmarkStart w:id="23" w:name="régression-linéaire-multiple-descriptive"/>
    <w:p>
      <w:pPr>
        <w:pStyle w:val="Heading2"/>
      </w:pPr>
      <w:r>
        <w:t xml:space="preserve">4. Régression linéaire multiple (descriptive)</w:t>
      </w:r>
    </w:p>
    <w:p>
      <w:pPr>
        <w:pStyle w:val="FirstParagraph"/>
      </w:pPr>
      <w:r>
        <w:t xml:space="preserve">Modèle : moyenne finale ~ heures d'étude par semaine + assiduité (%) + moyenne des devoirs + moyenne en statistique</w:t>
      </w:r>
    </w:p>
    <w:p>
      <w:pPr>
        <w:numPr>
          <w:ilvl w:val="0"/>
          <w:numId w:val="1003"/>
        </w:numPr>
        <w:pStyle w:val="Compact"/>
      </w:pPr>
      <w:r>
        <w:t xml:space="preserve">R² = 0,660 (R² ajusté = 0,654)</w:t>
      </w:r>
    </w:p>
    <w:p>
      <w:pPr>
        <w:numPr>
          <w:ilvl w:val="0"/>
          <w:numId w:val="1003"/>
        </w:numPr>
        <w:pStyle w:val="Compact"/>
      </w:pPr>
      <w:r>
        <w:t xml:space="preserve">R² sans la note de statistique = 0,121</w:t>
      </w:r>
    </w:p>
    <w:tbl>
      <w:tblPr>
        <w:tblStyle w:val="Table"/>
        <w:tblW w:type="auto" w:w="0"/>
        <w:jc w:val="center"/>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100" w:type="dxa"/>
          <w:bottom w:w="50" w:type="dxa"/>
          <w:right w:w="100" w:type="dxa"/>
        </w:tblCellMar>
      </w:tblPr>
      <w:tblGrid>
        <w:gridCol w:w="3960"/>
        <w:gridCol w:w="3960"/>
      </w:tblGrid>
      <w:tr>
        <w:trPr>
          <w:cantSplit/>
          <w:tblHeader w:val="true"/>
          <w:tblHeader w:val="true"/>
        </w:trPr>
        <w:tc>
          <w:tcPr>
            <w:shd w:val="clear" w:color="auto" w:fill="1F3864"/>
          </w:tcPr>
          <w:p>
            <w:pPr>
              <w:pStyle w:val="Compact"/>
              <w:spacing w:after="0"/>
              <w:jc w:val="left"/>
            </w:pPr>
            <w:r>
              <w:rPr>
                <w:b/>
                <w:color w:val="FFFFFF"/>
                <w:sz w:val="20"/>
              </w:rPr>
              <w:t xml:space="preserve">Terme</w:t>
            </w:r>
          </w:p>
        </w:tc>
        <w:tc>
          <w:tcPr>
            <w:shd w:val="clear" w:color="auto" w:fill="1F3864"/>
          </w:tcPr>
          <w:p>
            <w:pPr>
              <w:pStyle w:val="Compact"/>
              <w:spacing w:after="0"/>
              <w:jc w:val="left"/>
            </w:pPr>
            <w:r>
              <w:rPr>
                <w:b/>
                <w:color w:val="FFFFFF"/>
                <w:sz w:val="20"/>
              </w:rPr>
              <w:t xml:space="preserve">Coefficient</w:t>
            </w:r>
          </w:p>
        </w:tc>
      </w:tr>
      <w:tr>
        <w:trPr>
          <w:cantSplit/>
        </w:trPr>
        <w:tc>
          <w:tcPr/>
          <w:p>
            <w:pPr>
              <w:pStyle w:val="Compact"/>
              <w:spacing w:after="0"/>
              <w:jc w:val="left"/>
            </w:pPr>
            <w:r>
              <w:rPr>
                <w:sz w:val="20"/>
              </w:rPr>
              <w:t xml:space="preserve">Constante</w:t>
            </w:r>
          </w:p>
        </w:tc>
        <w:tc>
          <w:tcPr/>
          <w:p>
            <w:pPr>
              <w:pStyle w:val="Compact"/>
              <w:spacing w:after="0"/>
              <w:jc w:val="left"/>
            </w:pPr>
            <w:r>
              <w:rPr>
                <w:sz w:val="20"/>
              </w:rPr>
              <w:t xml:space="preserve">-0,483</w:t>
            </w:r>
          </w:p>
        </w:tc>
      </w:tr>
      <w:tr>
        <w:trPr>
          <w:cantSplit/>
        </w:trPr>
        <w:tc>
          <w:tcPr>
            <w:shd w:val="clear" w:color="auto" w:fill="F2F6FC"/>
          </w:tcPr>
          <w:p>
            <w:pPr>
              <w:pStyle w:val="Compact"/>
              <w:spacing w:after="0"/>
              <w:jc w:val="left"/>
            </w:pPr>
            <w:r>
              <w:rPr>
                <w:sz w:val="20"/>
              </w:rPr>
              <w:t xml:space="preserve">Heures d'étude par semaine</w:t>
            </w:r>
          </w:p>
        </w:tc>
        <w:tc>
          <w:tcPr>
            <w:shd w:val="clear" w:color="auto" w:fill="F2F6FC"/>
          </w:tcPr>
          <w:p>
            <w:pPr>
              <w:pStyle w:val="Compact"/>
              <w:spacing w:after="0"/>
              <w:jc w:val="left"/>
            </w:pPr>
            <w:r>
              <w:rPr>
                <w:sz w:val="20"/>
              </w:rPr>
              <w:t xml:space="preserve">0,142</w:t>
            </w:r>
          </w:p>
        </w:tc>
      </w:tr>
      <w:tr>
        <w:trPr>
          <w:cantSplit/>
        </w:trPr>
        <w:tc>
          <w:tcPr/>
          <w:p>
            <w:pPr>
              <w:pStyle w:val="Compact"/>
              <w:spacing w:after="0"/>
              <w:jc w:val="left"/>
            </w:pPr>
            <w:r>
              <w:rPr>
                <w:sz w:val="20"/>
              </w:rPr>
              <w:t xml:space="preserve">Assiduité (%)</w:t>
            </w:r>
          </w:p>
        </w:tc>
        <w:tc>
          <w:tcPr/>
          <w:p>
            <w:pPr>
              <w:pStyle w:val="Compact"/>
              <w:spacing w:after="0"/>
              <w:jc w:val="left"/>
            </w:pPr>
            <w:r>
              <w:rPr>
                <w:sz w:val="20"/>
              </w:rPr>
              <w:t xml:space="preserve">0,038</w:t>
            </w:r>
          </w:p>
        </w:tc>
      </w:tr>
      <w:tr>
        <w:trPr>
          <w:cantSplit/>
        </w:trPr>
        <w:tc>
          <w:tcPr>
            <w:shd w:val="clear" w:color="auto" w:fill="F2F6FC"/>
          </w:tcPr>
          <w:p>
            <w:pPr>
              <w:pStyle w:val="Compact"/>
              <w:spacing w:after="0"/>
              <w:jc w:val="left"/>
            </w:pPr>
            <w:r>
              <w:rPr>
                <w:sz w:val="20"/>
              </w:rPr>
              <w:t xml:space="preserve">Moyenne des devoirs</w:t>
            </w:r>
          </w:p>
        </w:tc>
        <w:tc>
          <w:tcPr>
            <w:shd w:val="clear" w:color="auto" w:fill="F2F6FC"/>
          </w:tcPr>
          <w:p>
            <w:pPr>
              <w:pStyle w:val="Compact"/>
              <w:spacing w:after="0"/>
              <w:jc w:val="left"/>
            </w:pPr>
            <w:r>
              <w:rPr>
                <w:sz w:val="20"/>
              </w:rPr>
              <w:t xml:space="preserve">-0,023</w:t>
            </w:r>
          </w:p>
        </w:tc>
      </w:tr>
      <w:tr>
        <w:trPr>
          <w:cantSplit/>
        </w:trPr>
        <w:tc>
          <w:tcPr/>
          <w:p>
            <w:pPr>
              <w:pStyle w:val="Compact"/>
              <w:spacing w:after="0"/>
              <w:jc w:val="left"/>
            </w:pPr>
            <w:r>
              <w:rPr>
                <w:sz w:val="20"/>
              </w:rPr>
              <w:t xml:space="preserve">Moyenne en statistique</w:t>
            </w:r>
          </w:p>
        </w:tc>
        <w:tc>
          <w:tcPr/>
          <w:p>
            <w:pPr>
              <w:pStyle w:val="Compact"/>
              <w:spacing w:after="0"/>
              <w:jc w:val="left"/>
            </w:pPr>
            <w:r>
              <w:rPr>
                <w:sz w:val="20"/>
              </w:rPr>
              <w:t xml:space="preserve">0,504</w:t>
            </w:r>
          </w:p>
        </w:tc>
      </w:tr>
    </w:tbl>
    <w:p>
      <w:pPr>
        <w:pStyle w:val="BodyText"/>
      </w:pPr>
      <w:r>
        <w:t xml:space="preserve">Les coefficients décrivent l'association dans ce jeu de données ; ils ne mesurent pas un effet causal.</w:t>
      </w:r>
    </w:p>
    <w:bookmarkEnd w:id="23"/>
    <w:bookmarkStart w:id="24" w:name="taux-de-réussite-par-quartile"/>
    <w:p>
      <w:pPr>
        <w:pStyle w:val="Heading2"/>
      </w:pPr>
      <w:r>
        <w:t xml:space="preserve">5. Taux de réussite par quartile</w:t>
      </w:r>
    </w:p>
    <w:tbl>
      <w:tblPr>
        <w:tblStyle w:val="Table"/>
        <w:tblW w:type="auto" w:w="0"/>
        <w:jc w:val="center"/>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100" w:type="dxa"/>
          <w:bottom w:w="50" w:type="dxa"/>
          <w:right w:w="100" w:type="dxa"/>
        </w:tblCellMar>
      </w:tblPr>
      <w:tblGrid>
        <w:gridCol w:w="2640"/>
        <w:gridCol w:w="2640"/>
        <w:gridCol w:w="2640"/>
      </w:tblGrid>
      <w:tr>
        <w:trPr>
          <w:cantSplit/>
          <w:tblHeader w:val="true"/>
          <w:tblHeader w:val="true"/>
        </w:trPr>
        <w:tc>
          <w:tcPr>
            <w:shd w:val="clear" w:color="auto" w:fill="1F3864"/>
          </w:tcPr>
          <w:p>
            <w:pPr>
              <w:pStyle w:val="Compact"/>
              <w:spacing w:after="0"/>
              <w:jc w:val="left"/>
            </w:pPr>
            <w:r>
              <w:rPr>
                <w:b/>
                <w:color w:val="FFFFFF"/>
                <w:sz w:val="20"/>
              </w:rPr>
              <w:t xml:space="preserve">Quartile d'heures d'étude</w:t>
            </w:r>
          </w:p>
        </w:tc>
        <w:tc>
          <w:tcPr>
            <w:shd w:val="clear" w:color="auto" w:fill="1F3864"/>
          </w:tcPr>
          <w:p>
            <w:pPr>
              <w:pStyle w:val="Compact"/>
              <w:spacing w:after="0"/>
              <w:jc w:val="left"/>
            </w:pPr>
            <w:r>
              <w:rPr>
                <w:b/>
                <w:color w:val="FFFFFF"/>
                <w:sz w:val="20"/>
              </w:rPr>
              <w:t xml:space="preserve">Intervalle (h)</w:t>
            </w:r>
          </w:p>
        </w:tc>
        <w:tc>
          <w:tcPr>
            <w:shd w:val="clear" w:color="auto" w:fill="1F3864"/>
          </w:tcPr>
          <w:p>
            <w:pPr>
              <w:pStyle w:val="Compact"/>
              <w:spacing w:after="0"/>
              <w:jc w:val="left"/>
            </w:pPr>
            <w:r>
              <w:rPr>
                <w:b/>
                <w:color w:val="FFFFFF"/>
                <w:sz w:val="20"/>
              </w:rPr>
              <w:t xml:space="preserve">Taux de réussite</w:t>
            </w:r>
          </w:p>
        </w:tc>
      </w:tr>
      <w:tr>
        <w:trPr>
          <w:cantSplit/>
        </w:trPr>
        <w:tc>
          <w:tcPr/>
          <w:p>
            <w:pPr>
              <w:pStyle w:val="Compact"/>
              <w:spacing w:after="0"/>
              <w:jc w:val="left"/>
            </w:pPr>
            <w:r>
              <w:rPr>
                <w:sz w:val="20"/>
              </w:rPr>
              <w:t xml:space="preserve">Q1 (le moins)</w:t>
            </w:r>
          </w:p>
        </w:tc>
        <w:tc>
          <w:tcPr/>
          <w:p>
            <w:pPr>
              <w:pStyle w:val="Compact"/>
              <w:spacing w:after="0"/>
              <w:jc w:val="left"/>
            </w:pPr>
            <w:r>
              <w:rPr>
                <w:sz w:val="20"/>
              </w:rPr>
              <w:t xml:space="preserve">3,4 – 9,3</w:t>
            </w:r>
          </w:p>
        </w:tc>
        <w:tc>
          <w:tcPr/>
          <w:p>
            <w:pPr>
              <w:pStyle w:val="Compact"/>
              <w:spacing w:after="0"/>
              <w:jc w:val="left"/>
            </w:pPr>
            <w:r>
              <w:rPr>
                <w:sz w:val="20"/>
              </w:rPr>
              <w:t xml:space="preserve">45,9 %</w:t>
            </w:r>
          </w:p>
        </w:tc>
      </w:tr>
      <w:tr>
        <w:trPr>
          <w:cantSplit/>
        </w:trPr>
        <w:tc>
          <w:tcPr>
            <w:shd w:val="clear" w:color="auto" w:fill="F2F6FC"/>
          </w:tcPr>
          <w:p>
            <w:pPr>
              <w:pStyle w:val="Compact"/>
              <w:spacing w:after="0"/>
              <w:jc w:val="left"/>
            </w:pPr>
            <w:r>
              <w:rPr>
                <w:sz w:val="20"/>
              </w:rPr>
              <w:t xml:space="preserve">Q2</w:t>
            </w:r>
          </w:p>
        </w:tc>
        <w:tc>
          <w:tcPr>
            <w:shd w:val="clear" w:color="auto" w:fill="F2F6FC"/>
          </w:tcPr>
          <w:p>
            <w:pPr>
              <w:pStyle w:val="Compact"/>
              <w:spacing w:after="0"/>
              <w:jc w:val="left"/>
            </w:pPr>
            <w:r>
              <w:rPr>
                <w:sz w:val="20"/>
              </w:rPr>
              <w:t xml:space="preserve">9,4 – 11,6</w:t>
            </w:r>
          </w:p>
        </w:tc>
        <w:tc>
          <w:tcPr>
            <w:shd w:val="clear" w:color="auto" w:fill="F2F6FC"/>
          </w:tcPr>
          <w:p>
            <w:pPr>
              <w:pStyle w:val="Compact"/>
              <w:spacing w:after="0"/>
              <w:jc w:val="left"/>
            </w:pPr>
            <w:r>
              <w:rPr>
                <w:sz w:val="20"/>
              </w:rPr>
              <w:t xml:space="preserve">57,6 %</w:t>
            </w:r>
          </w:p>
        </w:tc>
      </w:tr>
      <w:tr>
        <w:trPr>
          <w:cantSplit/>
        </w:trPr>
        <w:tc>
          <w:tcPr/>
          <w:p>
            <w:pPr>
              <w:pStyle w:val="Compact"/>
              <w:spacing w:after="0"/>
              <w:jc w:val="left"/>
            </w:pPr>
            <w:r>
              <w:rPr>
                <w:sz w:val="20"/>
              </w:rPr>
              <w:t xml:space="preserve">Q3</w:t>
            </w:r>
          </w:p>
        </w:tc>
        <w:tc>
          <w:tcPr/>
          <w:p>
            <w:pPr>
              <w:pStyle w:val="Compact"/>
              <w:spacing w:after="0"/>
              <w:jc w:val="left"/>
            </w:pPr>
            <w:r>
              <w:rPr>
                <w:sz w:val="20"/>
              </w:rPr>
              <w:t xml:space="preserve">11,7 – 14,0</w:t>
            </w:r>
          </w:p>
        </w:tc>
        <w:tc>
          <w:tcPr/>
          <w:p>
            <w:pPr>
              <w:pStyle w:val="Compact"/>
              <w:spacing w:after="0"/>
              <w:jc w:val="left"/>
            </w:pPr>
            <w:r>
              <w:rPr>
                <w:sz w:val="20"/>
              </w:rPr>
              <w:t xml:space="preserve">65,0 %</w:t>
            </w:r>
          </w:p>
        </w:tc>
      </w:tr>
      <w:tr>
        <w:trPr>
          <w:cantSplit/>
        </w:trPr>
        <w:tc>
          <w:tcPr>
            <w:shd w:val="clear" w:color="auto" w:fill="F2F6FC"/>
          </w:tcPr>
          <w:p>
            <w:pPr>
              <w:pStyle w:val="Compact"/>
              <w:spacing w:after="0"/>
              <w:jc w:val="left"/>
            </w:pPr>
            <w:r>
              <w:rPr>
                <w:sz w:val="20"/>
              </w:rPr>
              <w:t xml:space="preserve">Q4 (le plus)</w:t>
            </w:r>
          </w:p>
        </w:tc>
        <w:tc>
          <w:tcPr>
            <w:shd w:val="clear" w:color="auto" w:fill="F2F6FC"/>
          </w:tcPr>
          <w:p>
            <w:pPr>
              <w:pStyle w:val="Compact"/>
              <w:spacing w:after="0"/>
              <w:jc w:val="left"/>
            </w:pPr>
            <w:r>
              <w:rPr>
                <w:sz w:val="20"/>
              </w:rPr>
              <w:t xml:space="preserve">14,1 – 23,7</w:t>
            </w:r>
          </w:p>
        </w:tc>
        <w:tc>
          <w:tcPr>
            <w:shd w:val="clear" w:color="auto" w:fill="F2F6FC"/>
          </w:tcPr>
          <w:p>
            <w:pPr>
              <w:pStyle w:val="Compact"/>
              <w:spacing w:after="0"/>
              <w:jc w:val="left"/>
            </w:pPr>
            <w:r>
              <w:rPr>
                <w:sz w:val="20"/>
              </w:rPr>
              <w:t xml:space="preserve">73,3 %</w:t>
            </w:r>
          </w:p>
        </w:tc>
      </w:tr>
    </w:tbl>
    <w:p/>
    <w:tbl>
      <w:tblPr>
        <w:tblStyle w:val="Table"/>
        <w:tblW w:type="auto" w:w="0"/>
        <w:jc w:val="center"/>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100" w:type="dxa"/>
          <w:bottom w:w="50" w:type="dxa"/>
          <w:right w:w="100" w:type="dxa"/>
        </w:tblCellMar>
      </w:tblPr>
      <w:tblGrid>
        <w:gridCol w:w="2640"/>
        <w:gridCol w:w="2640"/>
        <w:gridCol w:w="2640"/>
      </w:tblGrid>
      <w:tr>
        <w:trPr>
          <w:cantSplit/>
          <w:tblHeader w:val="true"/>
          <w:tblHeader w:val="true"/>
        </w:trPr>
        <w:tc>
          <w:tcPr>
            <w:shd w:val="clear" w:color="auto" w:fill="1F3864"/>
          </w:tcPr>
          <w:p>
            <w:pPr>
              <w:pStyle w:val="Compact"/>
              <w:spacing w:after="0"/>
              <w:jc w:val="left"/>
            </w:pPr>
            <w:r>
              <w:rPr>
                <w:b/>
                <w:color w:val="FFFFFF"/>
                <w:sz w:val="20"/>
              </w:rPr>
              <w:t xml:space="preserve">Quartile d'assiduité</w:t>
            </w:r>
          </w:p>
        </w:tc>
        <w:tc>
          <w:tcPr>
            <w:shd w:val="clear" w:color="auto" w:fill="1F3864"/>
          </w:tcPr>
          <w:p>
            <w:pPr>
              <w:pStyle w:val="Compact"/>
              <w:spacing w:after="0"/>
              <w:jc w:val="left"/>
            </w:pPr>
            <w:r>
              <w:rPr>
                <w:b/>
                <w:color w:val="FFFFFF"/>
                <w:sz w:val="20"/>
              </w:rPr>
              <w:t xml:space="preserve">Intervalle (%)</w:t>
            </w:r>
          </w:p>
        </w:tc>
        <w:tc>
          <w:tcPr>
            <w:shd w:val="clear" w:color="auto" w:fill="1F3864"/>
          </w:tcPr>
          <w:p>
            <w:pPr>
              <w:pStyle w:val="Compact"/>
              <w:spacing w:after="0"/>
              <w:jc w:val="left"/>
            </w:pPr>
            <w:r>
              <w:rPr>
                <w:b/>
                <w:color w:val="FFFFFF"/>
                <w:sz w:val="20"/>
              </w:rPr>
              <w:t xml:space="preserve">Taux de réussite</w:t>
            </w:r>
          </w:p>
        </w:tc>
      </w:tr>
      <w:tr>
        <w:trPr>
          <w:cantSplit/>
        </w:trPr>
        <w:tc>
          <w:tcPr/>
          <w:p>
            <w:pPr>
              <w:pStyle w:val="Compact"/>
              <w:spacing w:after="0"/>
              <w:jc w:val="left"/>
            </w:pPr>
            <w:r>
              <w:rPr>
                <w:sz w:val="20"/>
              </w:rPr>
              <w:t xml:space="preserve">Q1 (la plus faible)</w:t>
            </w:r>
          </w:p>
        </w:tc>
        <w:tc>
          <w:tcPr/>
          <w:p>
            <w:pPr>
              <w:pStyle w:val="Compact"/>
              <w:spacing w:after="0"/>
              <w:jc w:val="left"/>
            </w:pPr>
            <w:r>
              <w:rPr>
                <w:sz w:val="20"/>
              </w:rPr>
              <w:t xml:space="preserve">56,3 – 75,3</w:t>
            </w:r>
          </w:p>
        </w:tc>
        <w:tc>
          <w:tcPr/>
          <w:p>
            <w:pPr>
              <w:pStyle w:val="Compact"/>
              <w:spacing w:after="0"/>
              <w:jc w:val="left"/>
            </w:pPr>
            <w:r>
              <w:rPr>
                <w:sz w:val="20"/>
              </w:rPr>
              <w:t xml:space="preserve">55,0 %</w:t>
            </w:r>
          </w:p>
        </w:tc>
      </w:tr>
      <w:tr>
        <w:trPr>
          <w:cantSplit/>
        </w:trPr>
        <w:tc>
          <w:tcPr>
            <w:shd w:val="clear" w:color="auto" w:fill="F2F6FC"/>
          </w:tcPr>
          <w:p>
            <w:pPr>
              <w:pStyle w:val="Compact"/>
              <w:spacing w:after="0"/>
              <w:jc w:val="left"/>
            </w:pPr>
            <w:r>
              <w:rPr>
                <w:sz w:val="20"/>
              </w:rPr>
              <w:t xml:space="preserve">Q2</w:t>
            </w:r>
          </w:p>
        </w:tc>
        <w:tc>
          <w:tcPr>
            <w:shd w:val="clear" w:color="auto" w:fill="F2F6FC"/>
          </w:tcPr>
          <w:p>
            <w:pPr>
              <w:pStyle w:val="Compact"/>
              <w:spacing w:after="0"/>
              <w:jc w:val="left"/>
            </w:pPr>
            <w:r>
              <w:rPr>
                <w:sz w:val="20"/>
              </w:rPr>
              <w:t xml:space="preserve">75,5 – 82,7</w:t>
            </w:r>
          </w:p>
        </w:tc>
        <w:tc>
          <w:tcPr>
            <w:shd w:val="clear" w:color="auto" w:fill="F2F6FC"/>
          </w:tcPr>
          <w:p>
            <w:pPr>
              <w:pStyle w:val="Compact"/>
              <w:spacing w:after="0"/>
              <w:jc w:val="left"/>
            </w:pPr>
            <w:r>
              <w:rPr>
                <w:sz w:val="20"/>
              </w:rPr>
              <w:t xml:space="preserve">53,2 %</w:t>
            </w:r>
          </w:p>
        </w:tc>
      </w:tr>
      <w:tr>
        <w:trPr>
          <w:cantSplit/>
        </w:trPr>
        <w:tc>
          <w:tcPr/>
          <w:p>
            <w:pPr>
              <w:pStyle w:val="Compact"/>
              <w:spacing w:after="0"/>
              <w:jc w:val="left"/>
            </w:pPr>
            <w:r>
              <w:rPr>
                <w:sz w:val="20"/>
              </w:rPr>
              <w:t xml:space="preserve">Q3</w:t>
            </w:r>
          </w:p>
        </w:tc>
        <w:tc>
          <w:tcPr/>
          <w:p>
            <w:pPr>
              <w:pStyle w:val="Compact"/>
              <w:spacing w:after="0"/>
              <w:jc w:val="left"/>
            </w:pPr>
            <w:r>
              <w:rPr>
                <w:sz w:val="20"/>
              </w:rPr>
              <w:t xml:space="preserve">82,9 – 89,0</w:t>
            </w:r>
          </w:p>
        </w:tc>
        <w:tc>
          <w:tcPr/>
          <w:p>
            <w:pPr>
              <w:pStyle w:val="Compact"/>
              <w:spacing w:after="0"/>
              <w:jc w:val="left"/>
            </w:pPr>
            <w:r>
              <w:rPr>
                <w:sz w:val="20"/>
              </w:rPr>
              <w:t xml:space="preserve">67,2 %</w:t>
            </w:r>
          </w:p>
        </w:tc>
      </w:tr>
      <w:tr>
        <w:trPr>
          <w:cantSplit/>
        </w:trPr>
        <w:tc>
          <w:tcPr>
            <w:shd w:val="clear" w:color="auto" w:fill="F2F6FC"/>
          </w:tcPr>
          <w:p>
            <w:pPr>
              <w:pStyle w:val="Compact"/>
              <w:spacing w:after="0"/>
              <w:jc w:val="left"/>
            </w:pPr>
            <w:r>
              <w:rPr>
                <w:sz w:val="20"/>
              </w:rPr>
              <w:t xml:space="preserve">Q4 (la plus forte)</w:t>
            </w:r>
          </w:p>
        </w:tc>
        <w:tc>
          <w:tcPr>
            <w:shd w:val="clear" w:color="auto" w:fill="F2F6FC"/>
          </w:tcPr>
          <w:p>
            <w:pPr>
              <w:pStyle w:val="Compact"/>
              <w:spacing w:after="0"/>
              <w:jc w:val="left"/>
            </w:pPr>
            <w:r>
              <w:rPr>
                <w:sz w:val="20"/>
              </w:rPr>
              <w:t xml:space="preserve">89,3 – 100,0</w:t>
            </w:r>
          </w:p>
        </w:tc>
        <w:tc>
          <w:tcPr>
            <w:shd w:val="clear" w:color="auto" w:fill="F2F6FC"/>
          </w:tcPr>
          <w:p>
            <w:pPr>
              <w:pStyle w:val="Compact"/>
              <w:spacing w:after="0"/>
              <w:jc w:val="left"/>
            </w:pPr>
            <w:r>
              <w:rPr>
                <w:sz w:val="20"/>
              </w:rPr>
              <w:t xml:space="preserve">66,7 %</w:t>
            </w:r>
          </w:p>
        </w:tc>
      </w:tr>
    </w:tbl>
    <w:bookmarkEnd w:id="24"/>
    <w:bookmarkEnd w:id="25"/>
    <w:sectPr>
      <w:footerReference w:type="default" r:id="rId9"/>
      <w:pgSz w:w="11906" w:h="16838"/>
      <w:pgMar w:bottom="1134"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7F7F"/>
        <w:sz w:val="18"/>
      </w:rPr>
      <w:t xml:space="preserve">02_python_reussite_etudiants — page </w:t>
    </w:r>
    <w:r>
      <w:rPr>
        <w:color w:val="7F7F7F"/>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pPr>
      <w:spacing w:after="120" w:before="0" w:line="276" w:lineRule="auto"/>
    </w:pPr>
    <w:qFormat/>
    <w:rPr>
      <w:rFonts w:ascii="Calibri" w:cs="Calibri" w:eastAsia="Calibri" w:hAnsi="Calibri"/>
      <w:sz w:val="22"/>
    </w:rPr>
  </w:style>
  <w:style w:customStyle="1" w:styleId="FirstParagraph" w:type="paragraph">
    <w:name w:val="First Paragraph"/>
    <w:basedOn w:val="BodyText"/>
    <w:next w:val="BodyText"/>
    <w:qFormat/>
    <w:pPr>
      <w:spacing w:after="120" w:before="0" w:line="276" w:lineRule="auto"/>
    </w:pPr>
    <w:rPr>
      <w:rFonts w:ascii="Calibri" w:cs="Calibri" w:eastAsia="Calibri" w:hAnsi="Calibri"/>
      <w:sz w:val="22"/>
    </w:rPr>
  </w:style>
  <w:style w:customStyle="1" w:styleId="Compact" w:type="paragraph">
    <w:name w:val="Compact"/>
    <w:basedOn w:val="BodyText"/>
    <w:qFormat/>
    <w:pPr>
      <w:spacing w:after="40" w:before="36"/>
    </w:pPr>
    <w:rPr>
      <w:rFonts w:ascii="Calibri" w:cs="Calibri" w:eastAsia="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outlineLvl w:val="0"/>
      <w:pBdr>
        <w:bottom w:color="1F3864" w:space="4" w:sz="12" w:val="single"/>
      </w:pBdr>
    </w:pPr>
    <w:rPr>
      <w:rFonts w:ascii="Calibri" w:cs="Calibri" w:eastAsia="Calibri" w:hAnsi="Calibri"/>
      <w:b/>
      <w:bCs/>
      <w:i w:val="0"/>
      <w:color w:val="1F3864"/>
      <w:sz w:val="44"/>
      <w:szCs w:val="32"/>
    </w:rPr>
  </w:style>
  <w:style w:styleId="Heading2" w:type="paragraph">
    <w:name w:val="Heading 2"/>
    <w:basedOn w:val="Normal"/>
    <w:next w:val="BodyText"/>
    <w:uiPriority w:val="9"/>
    <w:unhideWhenUsed/>
    <w:qFormat/>
    <w:pPr>
      <w:keepNext/>
      <w:keepLines/>
      <w:spacing w:after="120" w:before="320"/>
      <w:outlineLvl w:val="1"/>
    </w:pPr>
    <w:rPr>
      <w:rFonts w:ascii="Calibri" w:cs="Calibri" w:eastAsia="Calibri" w:hAnsi="Calibri"/>
      <w:b/>
      <w:bCs/>
      <w:i w:val="0"/>
      <w:color w:val="2E5496"/>
      <w:sz w:val="32"/>
      <w:szCs w:val="28"/>
    </w:rPr>
  </w:style>
  <w:style w:styleId="Heading3" w:type="paragraph">
    <w:name w:val="Heading 3"/>
    <w:basedOn w:val="Normal"/>
    <w:next w:val="BodyText"/>
    <w:uiPriority w:val="9"/>
    <w:unhideWhenUsed/>
    <w:qFormat/>
    <w:pPr>
      <w:keepNext/>
      <w:keepLines/>
      <w:spacing w:after="120" w:before="320"/>
      <w:outlineLvl w:val="2"/>
    </w:pPr>
    <w:rPr>
      <w:rFonts w:ascii="Calibri" w:cs="Calibri" w:eastAsia="Calibri" w:hAnsi="Calibri"/>
      <w:b/>
      <w:bCs/>
      <w:i w:val="0"/>
      <w:color w:val="2E5496"/>
      <w:sz w:val="26"/>
      <w:szCs w:val="24"/>
    </w:rPr>
  </w:style>
  <w:style w:styleId="Heading4" w:type="paragraph">
    <w:name w:val="Heading 4"/>
    <w:basedOn w:val="Normal"/>
    <w:next w:val="BodyText"/>
    <w:uiPriority w:val="9"/>
    <w:unhideWhenUsed/>
    <w:qFormat/>
    <w:pPr>
      <w:keepNext/>
      <w:keepLines/>
      <w:spacing w:after="120" w:before="320"/>
      <w:outlineLvl w:val="3"/>
    </w:pPr>
    <w:rPr>
      <w:rFonts w:ascii="Calibri" w:cs="Calibri" w:eastAsia="Calibri" w:hAnsi="Calibri"/>
      <w:i w:val="0"/>
      <w:b/>
      <w:bCs/>
      <w:color w:val="2E5496"/>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120"/>
      <w:ind w:firstLine="0" w:left="480" w:right="480"/>
      <w:pBdr>
        <w:left w:color="2E5496" w:space="8" w:sz="24" w:val="single"/>
      </w:pBdr>
      <w:shd w:color="auto" w:fill="EAF0FA" w:val="clear"/>
    </w:pPr>
    <w:rPr>
      <w:rFonts w:ascii="Calibri" w:cs="Calibri" w:eastAsia="Calibri" w:hAnsi="Calibri"/>
      <w:i w:val="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9C1C4B"/>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2E549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hd w:color="auto" w:fill="F2F2F2" w:val="clear"/>
      <w:spacing w:after="0"/>
    </w:pPr>
    <w:rPr>
      <w:rFonts w:ascii="Consolas" w:cs="Consolas" w:eastAsia="Consolas" w:hAnsi="Consolas"/>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2026-10-11T09:50:48Z</dcterms:created>
  <dcterms:modified xsi:type="dcterms:W3CDTF">2026-10-11T09:50:48Z</dcterms:modified>
</cp:coreProperties>
</file>

<file path=docProps/custom.xml><?xml version="1.0" encoding="utf-8"?>
<Properties xmlns="http://schemas.openxmlformats.org/officeDocument/2006/custom-properties" xmlns:vt="http://schemas.openxmlformats.org/officeDocument/2006/docPropsVTypes"/>
</file>