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00"/>
      </w:pPr>
      <w:r>
        <w:t xml:space="preserve">Rating Bar Test</w:t>
      </w:r>
    </w:p>
    <w:p>
      <w:pPr>
        <w:spacing w:after="20" w:before="40"/>
        <w:jc w:val="center"/>
        <w:rPr>
          <w:rFonts w:ascii="Merriweather" w:cs="Merriweather" w:eastAsia="Merriweather" w:hAnsi="Merriweather"/>
          <w:b/>
          <w:bCs/>
          <w:sz w:val="20"/>
          <w:szCs w:val="20"/>
        </w:rPr>
      </w:pPr>
      <w:r>
        <w:t xml:space="preserve">Distributed Systems &amp; Microservices</w:t>
      </w:r>
    </w:p>
    <w:tbl>
      <w:tblPr>
        <w:tblW w:type="dxa" w:w="140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rPr>
          <w:cantSplit/>
          <w:trHeight w:val="60" w:hRule="exact"/>
        </w:trPr>
        <w:tc>
          <w:tcPr>
            <w:tcW w:type="pct" w:w="100%"/>
            <w:tcBorders>
              <w:top w:val="none"/>
              <w:left w:val="none"/>
              <w:bottom w:val="none"/>
              <w:right w:val="none"/>
            </w:tcBorders>
            <w:shd w:fill="1E3A8A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/>
            </w:pPr>
          </w:p>
        </w:tc>
        <w:tc>
          <w:tcPr>
            <w:tcW w:type="pct" w:w="0%"/>
            <w:tcBorders>
              <w:top w:val="none"/>
              <w:left w:val="none"/>
              <w:bottom w:val="none"/>
              <w:right w:val="none"/>
            </w:tcBorders>
            <w:shd w:fill="E2E8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/>
            </w:pPr>
          </w:p>
        </w:tc>
      </w:tr>
    </w:tbl>
    <w:p>
      <w:pPr>
        <w:spacing w:after="20" w:before="60"/>
        <w:jc w:val="center"/>
        <w:rPr>
          <w:rFonts w:ascii="Merriweather" w:cs="Merriweather" w:eastAsia="Merriweather" w:hAnsi="Merriweather"/>
          <w:b/>
          <w:bCs/>
          <w:sz w:val="20"/>
          <w:szCs w:val="20"/>
        </w:rPr>
      </w:pPr>
      <w:r>
        <w:t xml:space="preserve">AWS, GCP &amp; Kubernetes (EKS/GKE)</w:t>
      </w:r>
    </w:p>
    <w:tbl>
      <w:tblPr>
        <w:tblW w:type="dxa" w:w="140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rPr>
          <w:cantSplit/>
          <w:trHeight w:val="60" w:hRule="exact"/>
        </w:trPr>
        <w:tc>
          <w:tcPr>
            <w:tcW w:type="pct" w:w="80%"/>
            <w:tcBorders>
              <w:top w:val="none"/>
              <w:left w:val="none"/>
              <w:bottom w:val="none"/>
              <w:right w:val="none"/>
            </w:tcBorders>
            <w:shd w:fill="1E3A8A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/>
            </w:pP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  <w:shd w:fill="E2E8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/>
            </w:pPr>
          </w:p>
        </w:tc>
      </w:tr>
    </w:tbl>
    <w:p>
      <w:pPr>
        <w:spacing w:after="20" w:before="60"/>
        <w:jc w:val="center"/>
        <w:rPr>
          <w:rFonts w:ascii="Merriweather" w:cs="Merriweather" w:eastAsia="Merriweather" w:hAnsi="Merriweather"/>
          <w:b/>
          <w:bCs/>
          <w:sz w:val="20"/>
          <w:szCs w:val="20"/>
        </w:rPr>
      </w:pPr>
      <w:r>
        <w:t xml:space="preserve">LLM Gateways &amp; Vector DBs</w:t>
      </w:r>
    </w:p>
    <w:tbl>
      <w:tblPr>
        <w:tblW w:type="dxa" w:w="140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rPr>
          <w:cantSplit/>
          <w:trHeight w:val="60" w:hRule="exact"/>
        </w:trPr>
        <w:tc>
          <w:tcPr>
            <w:tcW w:type="pct" w:w="90%"/>
            <w:tcBorders>
              <w:top w:val="none"/>
              <w:left w:val="none"/>
              <w:bottom w:val="none"/>
              <w:right w:val="none"/>
            </w:tcBorders>
            <w:shd w:fill="1E3A8A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/>
            </w:pP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  <w:shd w:fill="E2E8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/>
            </w:pPr>
          </w:p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erriweather" w:cs="Merriweather" w:eastAsia="Merriweather" w:hAnsi="Merriweather"/>
        <w:color w:val="11182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2026-09-15T11:22:02.335Z</dcterms:created>
  <dcterms:modified xsi:type="dcterms:W3CDTF">2026-09-15T11:22:02.337Z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