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32"/>
          <w:szCs w:val="32"/>
        </w:rPr>
        <w:t>CNV-Driven Metastasis Prediction in Breast Cancer:</w:t>
      </w:r>
    </w:p>
    <w:p>
      <w:pPr>
        <w:pStyle w:val="Normal"/>
        <w:spacing w:before="0" w:after="240"/>
        <w:jc w:val="center"/>
        <w:rPr/>
      </w:pPr>
      <w:r>
        <w:rPr>
          <w:b/>
          <w:bCs/>
          <w:sz w:val="32"/>
          <w:szCs w:val="32"/>
        </w:rPr>
        <w:t>An Interpretable Deep Learning Approach Integrating Multi-Omics and Temporal Progression Data</w:t>
      </w:r>
    </w:p>
    <w:p>
      <w:pPr>
        <w:pStyle w:val="Normal"/>
        <w:spacing w:before="0" w:after="60"/>
        <w:jc w:val="center"/>
        <w:rPr/>
      </w:pPr>
      <w:r>
        <w:rPr>
          <w:i/>
          <w:iCs/>
          <w:sz w:val="26"/>
          <w:szCs w:val="26"/>
        </w:rPr>
        <w:t>Comprehensive Implementation Guide</w:t>
      </w:r>
    </w:p>
    <w:p>
      <w:pPr>
        <w:pStyle w:val="Normal"/>
        <w:spacing w:before="0" w:after="60"/>
        <w:jc w:val="center"/>
        <w:rPr/>
      </w:pPr>
      <w:r>
        <w:rPr>
          <w:i/>
          <w:iCs/>
          <w:sz w:val="22"/>
          <w:szCs w:val="22"/>
        </w:rPr>
        <w:t>A Publication-Ready Research Framework — Compute-Robust Edition</w:t>
      </w:r>
    </w:p>
    <w:p>
      <w:pPr>
        <w:pStyle w:val="Normal"/>
        <w:spacing w:before="0" w:after="400"/>
        <w:jc w:val="center"/>
        <w:rPr/>
      </w:pPr>
      <w:r>
        <w:rPr>
          <w:color w:val="555555"/>
          <w:sz w:val="20"/>
          <w:szCs w:val="20"/>
        </w:rPr>
        <w:t>Designed to run identically on a 16GB/4GB-VRAM builder machine and a 4GB RAM, CPU-only laptop</w:t>
      </w:r>
    </w:p>
    <w:p>
      <w:pPr>
        <w:pStyle w:val="Heading1"/>
        <w:spacing w:before="360" w:after="180"/>
        <w:jc w:val="both"/>
        <w:rPr/>
      </w:pPr>
      <w:r>
        <w:rPr/>
        <w:t>1. PROJECT OVERVIEW</w:t>
      </w:r>
    </w:p>
    <w:p>
      <w:pPr>
        <w:pStyle w:val="Heading2"/>
        <w:spacing w:before="280" w:after="140"/>
        <w:jc w:val="both"/>
        <w:rPr/>
      </w:pPr>
      <w:r>
        <w:rPr/>
        <w:t>1.1 Research Significance</w:t>
      </w:r>
    </w:p>
    <w:p>
      <w:pPr>
        <w:pStyle w:val="Normal"/>
        <w:spacing w:before="0" w:after="140"/>
        <w:jc w:val="both"/>
        <w:rPr/>
      </w:pPr>
      <w:r>
        <w:rPr/>
        <w:t>Breast cancer (BRCA) is the most commonly diagnosed cancer among women worldwide, and distant metastasis remains the leading cause of breast-cancer mortality. Unlike single-organ metastasis cancers, BRCA metastatic risk varies substantially by molecular subtype (ER/PR/HER2 status, PAM50 calls) and accrues over time rather than presenting as a single snapshot. Predicting which patients are likely to develop metastasis - and capturing how that risk evolves - using integrated CNV, transcriptomic, and proteomic signatures offers a path toward subtype-aware, risk-stratified surveillance and earlier intervention.</w:t>
      </w:r>
    </w:p>
    <w:p>
      <w:pPr>
        <w:pStyle w:val="Heading2"/>
        <w:spacing w:before="280" w:after="140"/>
        <w:jc w:val="both"/>
        <w:rPr/>
      </w:pPr>
      <w:r>
        <w:rPr/>
        <w:t>1.2 Novel Contribution</w:t>
      </w:r>
    </w:p>
    <w:p>
      <w:pPr>
        <w:pStyle w:val="Normal"/>
        <w:spacing w:before="0" w:after="140"/>
        <w:jc w:val="both"/>
        <w:rPr/>
      </w:pPr>
      <w:r>
        <w:rPr/>
        <w:t>Most BRCA ML work targets recurrence prediction from imaging or clinical data alone. Few studies integrate CNV with RNA-Seq, RPPA proteomics, and clinical/subtype data in one interpretable framework, and fewer still model the temporal dimension of metastasis development. This project closes that gap through four contributions: (1) CNV-based metastasis prediction with full multi-omics integration, (2) subtype-stratified CNV signatures (ER+/ER−/HER2+/TNBC), (3) time-to-metastasis modeling using survival analysis alongside standard classification, and (4) a deep learning component implemented as a lightweight, CPU-portable network so every result in the paper is reproducible on ordinary laptop hardware - with an optional, GPU-accelerated deeper variant run by the instructor as a sensitivity check, clearly separated from the core reproducible pipeline.</w:t>
      </w:r>
    </w:p>
    <w:p>
      <w:pPr>
        <w:pStyle w:val="Normal"/>
        <w:spacing w:before="0" w:after="140"/>
        <w:jc w:val="both"/>
        <w:rPr/>
      </w:pPr>
      <w:r>
        <w:rPr/>
        <w:t>This last point is itself worth stating explicitly in the manuscript's methods and discussion: a pipeline that reproduces its headline results on 4GB of RAM without a GPU is a genuine, citable methodological contribution in its own right — particularly for readers in low-resource research settings.</w:t>
      </w:r>
    </w:p>
    <w:p>
      <w:pPr>
        <w:pStyle w:val="Heading2"/>
        <w:spacing w:before="280" w:after="140"/>
        <w:jc w:val="both"/>
        <w:rPr/>
      </w:pPr>
      <w:r>
        <w:rPr/>
        <w:t>1.3 Research Objectives</w:t>
      </w:r>
    </w:p>
    <w:p>
      <w:pPr>
        <w:pStyle w:val="ListParagraph"/>
        <w:numPr>
          <w:ilvl w:val="0"/>
          <w:numId w:val="3"/>
        </w:numPr>
        <w:spacing w:before="0" w:after="80"/>
        <w:jc w:val="both"/>
        <w:rPr/>
      </w:pPr>
      <w:r>
        <w:rPr/>
        <w:t>Identify subtype-stratified metastasis-associated CNVs in BRCA using integrated multi-omics data</w:t>
      </w:r>
    </w:p>
    <w:p>
      <w:pPr>
        <w:pStyle w:val="ListParagraph"/>
        <w:numPr>
          <w:ilvl w:val="0"/>
          <w:numId w:val="1"/>
        </w:numPr>
        <w:spacing w:before="0" w:after="80"/>
        <w:jc w:val="both"/>
        <w:rPr/>
      </w:pPr>
      <w:r>
        <w:rPr/>
        <w:t>Model both whether and, where data allow, when metastasis occurs (binary classification + temporal/survival endpoints)</w:t>
      </w:r>
    </w:p>
    <w:p>
      <w:pPr>
        <w:pStyle w:val="ListParagraph"/>
        <w:numPr>
          <w:ilvl w:val="0"/>
          <w:numId w:val="1"/>
        </w:numPr>
        <w:spacing w:before="0" w:after="80"/>
        <w:jc w:val="both"/>
        <w:rPr/>
      </w:pPr>
      <w:r>
        <w:rPr/>
        <w:t>Develop interpretable, reproducible ML models that run end-to-end on constrained hardware (as low as 4GB RAM, CPU-only)</w:t>
      </w:r>
    </w:p>
    <w:p>
      <w:pPr>
        <w:pStyle w:val="ListParagraph"/>
        <w:numPr>
          <w:ilvl w:val="0"/>
          <w:numId w:val="1"/>
        </w:numPr>
        <w:spacing w:before="0" w:after="80"/>
        <w:jc w:val="both"/>
        <w:rPr/>
      </w:pPr>
      <w:r>
        <w:rPr/>
        <w:t>Build a deployable bioinformatics tool to support clinical translation</w:t>
      </w:r>
    </w:p>
    <w:p>
      <w:pPr>
        <w:pStyle w:val="ListParagraph"/>
        <w:numPr>
          <w:ilvl w:val="0"/>
          <w:numId w:val="1"/>
        </w:numPr>
        <w:spacing w:before="0" w:after="80"/>
        <w:jc w:val="both"/>
        <w:rPr/>
      </w:pPr>
      <w:r>
        <w:rPr/>
        <w:t>Validate findings and prepare a submission-ready manuscript for a high-impact journal</w:t>
      </w:r>
    </w:p>
    <w:p>
      <w:pPr>
        <w:pStyle w:val="ListParagraph"/>
        <w:spacing w:before="0" w:after="80"/>
        <w:jc w:val="both"/>
        <w:rPr/>
      </w:pPr>
      <w:r>
        <w:rPr/>
      </w:r>
    </w:p>
    <w:p>
      <w:pPr>
        <w:pStyle w:val="Heading2"/>
        <w:spacing w:before="280" w:after="140"/>
        <w:jc w:val="both"/>
        <w:rPr/>
      </w:pPr>
      <w:r>
        <w:rPr/>
        <w:t>1.4 Expected Deliverables</w:t>
      </w:r>
    </w:p>
    <w:tbl>
      <w:tblPr>
        <w:tblW w:w="9360" w:type="dxa"/>
        <w:jc w:val="left"/>
        <w:tblInd w:w="0" w:type="dxa"/>
        <w:tblLayout w:type="fixed"/>
        <w:tblCellMar>
          <w:top w:w="60" w:type="dxa"/>
          <w:left w:w="100" w:type="dxa"/>
          <w:bottom w:w="60" w:type="dxa"/>
          <w:right w:w="100" w:type="dxa"/>
        </w:tblCellMar>
      </w:tblPr>
      <w:tblGrid>
        <w:gridCol w:w="2995"/>
        <w:gridCol w:w="6364"/>
      </w:tblGrid>
      <w:tr>
        <w:trPr>
          <w:tblHeader w:val="true"/>
        </w:trPr>
        <w:tc>
          <w:tcPr>
            <w:tcW w:w="2995"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Deliverable</w:t>
            </w:r>
          </w:p>
        </w:tc>
        <w:tc>
          <w:tcPr>
            <w:tcW w:w="6364"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Description</w:t>
            </w:r>
          </w:p>
        </w:tc>
      </w:tr>
      <w:tr>
        <w:trPr/>
        <w:tc>
          <w:tcPr>
            <w:tcW w:w="2995"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Command-Line Tool</w:t>
            </w:r>
          </w:p>
        </w:tc>
        <w:tc>
          <w:tcPr>
            <w:tcW w:w="636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Python-based CLI built with Snakemake for reproducible workflows</w:t>
            </w:r>
          </w:p>
        </w:tc>
      </w:tr>
      <w:tr>
        <w:trPr/>
        <w:tc>
          <w:tcPr>
            <w:tcW w:w="2995"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Web Application</w:t>
            </w:r>
          </w:p>
        </w:tc>
        <w:tc>
          <w:tcPr>
            <w:tcW w:w="636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Flask-based interactive visualization and prediction platform</w:t>
            </w:r>
          </w:p>
        </w:tc>
      </w:tr>
      <w:tr>
        <w:trPr/>
        <w:tc>
          <w:tcPr>
            <w:tcW w:w="2995"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Research Manuscript</w:t>
            </w:r>
          </w:p>
        </w:tc>
        <w:tc>
          <w:tcPr>
            <w:tcW w:w="636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Submission-ready manuscript for journals such as Breast Cancer Research, Nature Communications, or Clinical Cancer Research</w:t>
            </w:r>
          </w:p>
        </w:tc>
      </w:tr>
      <w:tr>
        <w:trPr/>
        <w:tc>
          <w:tcPr>
            <w:tcW w:w="2995"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GitHub Repository</w:t>
            </w:r>
          </w:p>
        </w:tc>
        <w:tc>
          <w:tcPr>
            <w:tcW w:w="636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Complete, documented codebase ensuring full reproducibility</w:t>
            </w:r>
          </w:p>
        </w:tc>
      </w:tr>
    </w:tbl>
    <w:p>
      <w:pPr>
        <w:pStyle w:val="Normal"/>
        <w:spacing w:before="0" w:after="120"/>
        <w:jc w:val="both"/>
        <w:rPr/>
      </w:pPr>
      <w:r>
        <w:rPr/>
      </w:r>
    </w:p>
    <w:p>
      <w:pPr>
        <w:pStyle w:val="Heading1"/>
        <w:spacing w:before="360" w:after="180"/>
        <w:jc w:val="both"/>
        <w:rPr/>
      </w:pPr>
      <w:r>
        <w:rPr/>
        <w:t>2. HARDWARE PROFILES &amp; COMPUTE-ROBUSTNESS STRATEGY</w:t>
      </w:r>
    </w:p>
    <w:p>
      <w:pPr>
        <w:pStyle w:val="Heading2"/>
        <w:spacing w:before="280" w:after="140"/>
        <w:jc w:val="both"/>
        <w:rPr/>
      </w:pPr>
      <w:r>
        <w:rPr/>
        <w:t xml:space="preserve">2.1 Two Hardware Profiles </w:t>
      </w:r>
      <w:r>
        <w:rPr/>
        <w:t>Pipeline Will be Built For</w:t>
      </w:r>
    </w:p>
    <w:tbl>
      <w:tblPr>
        <w:tblW w:w="9360" w:type="dxa"/>
        <w:jc w:val="left"/>
        <w:tblInd w:w="0" w:type="dxa"/>
        <w:tblLayout w:type="fixed"/>
        <w:tblCellMar>
          <w:top w:w="60" w:type="dxa"/>
          <w:left w:w="100" w:type="dxa"/>
          <w:bottom w:w="60" w:type="dxa"/>
          <w:right w:w="100" w:type="dxa"/>
        </w:tblCellMar>
      </w:tblPr>
      <w:tblGrid>
        <w:gridCol w:w="3369"/>
        <w:gridCol w:w="1872"/>
        <w:gridCol w:w="4118"/>
      </w:tblGrid>
      <w:tr>
        <w:trPr>
          <w:tblHeader w:val="true"/>
        </w:trPr>
        <w:tc>
          <w:tcPr>
            <w:tcW w:w="3369"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RAM</w:t>
            </w:r>
          </w:p>
        </w:tc>
        <w:tc>
          <w:tcPr>
            <w:tcW w:w="1872"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GPU</w:t>
            </w:r>
          </w:p>
        </w:tc>
        <w:tc>
          <w:tcPr>
            <w:tcW w:w="4118"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Role in this guide</w:t>
            </w:r>
          </w:p>
        </w:tc>
      </w:tr>
      <w:tr>
        <w:trPr/>
        <w:tc>
          <w:tcPr>
            <w:tcW w:w="3369"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16 GB</w:t>
            </w:r>
          </w:p>
        </w:tc>
        <w:tc>
          <w:tcPr>
            <w:tcW w:w="1872"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4 GB VRAM</w:t>
            </w:r>
          </w:p>
        </w:tc>
        <w:tc>
          <w:tcPr>
            <w:tcW w:w="4118"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Full pipeline build/debug, produces the staged dataset, optional GPU sensitivity run</w:t>
            </w:r>
          </w:p>
        </w:tc>
      </w:tr>
      <w:tr>
        <w:trPr/>
        <w:tc>
          <w:tcPr>
            <w:tcW w:w="3369"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4 GB</w:t>
            </w:r>
          </w:p>
        </w:tc>
        <w:tc>
          <w:tcPr>
            <w:tcW w:w="1872"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None (CPU-only)</w:t>
            </w:r>
          </w:p>
        </w:tc>
        <w:tc>
          <w:tcPr>
            <w:tcW w:w="4118"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Must complete every REQUIRED step end-to-end, unmodified</w:t>
            </w:r>
          </w:p>
        </w:tc>
      </w:tr>
    </w:tbl>
    <w:p>
      <w:pPr>
        <w:pStyle w:val="Normal"/>
        <w:spacing w:before="0" w:after="80"/>
        <w:jc w:val="both"/>
        <w:rPr/>
      </w:pPr>
      <w:r>
        <w:rPr/>
      </w:r>
    </w:p>
    <w:p>
      <w:pPr>
        <w:pStyle w:val="Normal"/>
        <w:spacing w:before="0" w:after="140"/>
        <w:jc w:val="both"/>
        <w:rPr/>
      </w:pPr>
      <w:r>
        <w:rPr/>
        <w:t>Design target: every step marked REQUIRED must comfortably complete on the Minimum profile. Anything that needs more than that is explicitly marked OPTIONAL / BONUS.</w:t>
      </w:r>
    </w:p>
    <w:p>
      <w:pPr>
        <w:pStyle w:val="Heading2"/>
        <w:spacing w:before="280" w:after="140"/>
        <w:jc w:val="both"/>
        <w:rPr/>
      </w:pPr>
      <w:r>
        <w:rPr/>
        <w:t>2.2 Ten Design Rules Applied Throughout This Guide</w:t>
      </w:r>
    </w:p>
    <w:p>
      <w:pPr>
        <w:pStyle w:val="ListParagraph"/>
        <w:numPr>
          <w:ilvl w:val="0"/>
          <w:numId w:val="1"/>
        </w:numPr>
        <w:spacing w:before="0" w:after="80"/>
        <w:jc w:val="both"/>
        <w:rPr/>
      </w:pPr>
      <w:r>
        <w:rPr/>
        <w:t>Parquet/Feather over CSV for anything patient × feature-shaped - smaller on disk, faster to load, preserves dtypes so pandas doesn't re-infer them on every read.</w:t>
      </w:r>
    </w:p>
    <w:p>
      <w:pPr>
        <w:pStyle w:val="ListParagraph"/>
        <w:numPr>
          <w:ilvl w:val="0"/>
          <w:numId w:val="1"/>
        </w:numPr>
        <w:spacing w:before="0" w:after="80"/>
        <w:jc w:val="both"/>
        <w:rPr/>
      </w:pPr>
      <w:r>
        <w:rPr/>
        <w:t>Aggressive feature reduction before Phase 3 is the single biggest lever. Phase 2 must end with a few hundred features, not tens of thousands.</w:t>
      </w:r>
    </w:p>
    <w:p>
      <w:pPr>
        <w:pStyle w:val="ListParagraph"/>
        <w:numPr>
          <w:ilvl w:val="0"/>
          <w:numId w:val="1"/>
        </w:numPr>
        <w:spacing w:before="0" w:after="80"/>
        <w:jc w:val="both"/>
        <w:rPr/>
      </w:pPr>
      <w:r>
        <w:rPr/>
        <w:t>Tree-based models are the default engines - Random Forest, XGBoost (tree_method='hist'), LightGBM. All are memory-lean and CPU-native.</w:t>
      </w:r>
    </w:p>
    <w:p>
      <w:pPr>
        <w:pStyle w:val="ListParagraph"/>
        <w:numPr>
          <w:ilvl w:val="0"/>
          <w:numId w:val="1"/>
        </w:numPr>
        <w:spacing w:before="0" w:after="80"/>
        <w:jc w:val="both"/>
        <w:rPr/>
      </w:pPr>
      <w:r>
        <w:rPr/>
        <w:t>The required 'deep learning' arm is a small scikit-learn MLPClassifier (1–2 hidden layers, ≤64 units). No PyTorch/TensorFlow install is needed for the required path.</w:t>
      </w:r>
    </w:p>
    <w:p>
      <w:pPr>
        <w:pStyle w:val="ListParagraph"/>
        <w:numPr>
          <w:ilvl w:val="0"/>
          <w:numId w:val="1"/>
        </w:numPr>
        <w:spacing w:before="0" w:after="80"/>
        <w:jc w:val="both"/>
        <w:rPr/>
      </w:pPr>
      <w:r>
        <w:rPr/>
        <w:t>SHAP uses TreeExplainer (fast, closed-form for tree models), never KernelExplainer (model-agnostic but can take hours on a weak CPU).</w:t>
      </w:r>
    </w:p>
    <w:p>
      <w:pPr>
        <w:pStyle w:val="ListParagraph"/>
        <w:numPr>
          <w:ilvl w:val="0"/>
          <w:numId w:val="1"/>
        </w:numPr>
        <w:spacing w:before="0" w:after="80"/>
        <w:jc w:val="both"/>
        <w:rPr/>
      </w:pPr>
      <w:r>
        <w:rPr/>
        <w:t>Environment install is conda/venv + pip first. Docker is offered as a convenience for students with spare RAM, never a requirement - the Docker daemon alone can consume 1–2GB before any of your code runs.</w:t>
      </w:r>
    </w:p>
    <w:p>
      <w:pPr>
        <w:pStyle w:val="ListParagraph"/>
        <w:numPr>
          <w:ilvl w:val="0"/>
          <w:numId w:val="1"/>
        </w:numPr>
        <w:spacing w:before="0" w:after="80"/>
        <w:jc w:val="both"/>
        <w:rPr/>
      </w:pPr>
      <w:r>
        <w:rPr/>
        <w:t>Data arrives pre-staged by default (Section 2.3). No student needs to individually hit GDC or cBioPortal servers to begin coursework, though the full-download path stays available for anyone who wants it.</w:t>
      </w:r>
    </w:p>
    <w:p>
      <w:pPr>
        <w:pStyle w:val="ListParagraph"/>
        <w:numPr>
          <w:ilvl w:val="0"/>
          <w:numId w:val="1"/>
        </w:numPr>
        <w:spacing w:before="0" w:after="80"/>
        <w:jc w:val="both"/>
        <w:rPr/>
      </w:pPr>
      <w:r>
        <w:rPr/>
        <w:t>Long-running scripts print an estimated peak RAM and wall-clock time at both hardware tiers before executing, so a student knows what they're about to commit their laptop to.</w:t>
      </w:r>
    </w:p>
    <w:p>
      <w:pPr>
        <w:pStyle w:val="ListParagraph"/>
        <w:numPr>
          <w:ilvl w:val="0"/>
          <w:numId w:val="1"/>
        </w:numPr>
        <w:spacing w:before="0" w:after="80"/>
        <w:jc w:val="both"/>
        <w:rPr/>
      </w:pPr>
      <w:r>
        <w:rPr/>
        <w:t>Hyperparameter search spaces are hardware-tiered - a small grid for the 4GB CPU tier, a fuller grid optional for stronger machines/the instructor (see Section 4.4).</w:t>
      </w:r>
    </w:p>
    <w:p>
      <w:pPr>
        <w:pStyle w:val="ListParagraph"/>
        <w:numPr>
          <w:ilvl w:val="0"/>
          <w:numId w:val="1"/>
        </w:numPr>
        <w:spacing w:before="0" w:after="80"/>
        <w:jc w:val="both"/>
        <w:rPr/>
      </w:pPr>
      <w:r>
        <w:rPr/>
        <w:t>A parallel Google Colab notebook mirrors every phase notebook, so any student whose laptop genuinely can't complete a step has a zero-cost fallback that needs no local compute at all.</w:t>
      </w:r>
    </w:p>
    <w:p>
      <w:pPr>
        <w:pStyle w:val="Heading2"/>
        <w:spacing w:before="280" w:after="140"/>
        <w:jc w:val="both"/>
        <w:rPr/>
      </w:pPr>
      <w:r>
        <w:rPr/>
        <w:t>2.3 Data Distribution Model: Staged by Default, Raw Download Optional</w:t>
      </w:r>
    </w:p>
    <w:p>
      <w:pPr>
        <w:pStyle w:val="Normal"/>
        <w:spacing w:before="0" w:after="140"/>
        <w:jc w:val="both"/>
        <w:rPr/>
      </w:pPr>
      <w:r>
        <w:rPr/>
        <w:t xml:space="preserve">Phase 1 </w:t>
      </w:r>
      <w:r>
        <w:rPr/>
        <w:t xml:space="preserve">will be run </w:t>
      </w:r>
      <w:r>
        <w:rPr/>
        <w:t xml:space="preserve">in full on </w:t>
      </w:r>
      <w:r>
        <w:rPr/>
        <w:t>an</w:t>
      </w:r>
      <w:r>
        <w:rPr/>
        <w:t xml:space="preserve"> 16GB builder machine - raw GDC/TCGAbiolinks download, harmonization, and QC - exactly as described in Section 3.3. </w:t>
      </w:r>
      <w:r>
        <w:rPr/>
        <w:t>T</w:t>
      </w:r>
      <w:r>
        <w:rPr/>
        <w:t xml:space="preserve">hen one compact artifact, </w:t>
      </w:r>
      <w:r>
        <w:rPr/>
        <w:t>`</w:t>
      </w:r>
      <w:r>
        <w:rPr/>
        <w:t>brca_integrated_v1.parquet</w:t>
      </w:r>
      <w:r>
        <w:rPr/>
        <w:t>`</w:t>
      </w:r>
      <w:r>
        <w:rPr/>
        <w:t xml:space="preserve"> (plus a short README and a checksum), </w:t>
      </w:r>
      <w:r>
        <w:rPr/>
        <w:t xml:space="preserve">will be published </w:t>
      </w:r>
      <w:r>
        <w:rPr/>
        <w:t>to a GitHub Release or a shared Drive folder.</w:t>
      </w:r>
    </w:p>
    <w:p>
      <w:pPr>
        <w:pStyle w:val="Normal"/>
        <w:spacing w:before="0" w:after="140"/>
        <w:jc w:val="both"/>
        <w:rPr/>
      </w:pPr>
      <w:r>
        <w:rPr>
          <w:b/>
          <w:bCs/>
        </w:rPr>
        <w:t xml:space="preserve">Path A - default for the whole class. </w:t>
      </w:r>
      <w:r>
        <w:rPr/>
        <w:t>Students fetch the pre-integrated package (Section 3.4, ~5–10 minutes, well under 500MB) and begin real analytical work at Phase 2. This is the path every REQUIRED instruction in this guide assumes.</w:t>
      </w:r>
    </w:p>
    <w:p>
      <w:pPr>
        <w:pStyle w:val="Normal"/>
        <w:spacing w:before="0" w:after="140"/>
        <w:jc w:val="both"/>
        <w:rPr/>
      </w:pPr>
      <w:r>
        <w:rPr>
          <w:b/>
          <w:bCs/>
        </w:rPr>
        <w:t xml:space="preserve">Path B - optional advanced track. </w:t>
      </w:r>
      <w:r>
        <w:rPr/>
        <w:t xml:space="preserve">Students with stronger hardware (8GB+ RAM recommended) or genuine interest can instead run the Week 1 raw download and harmonization themselves, following Section 3.5 - the exact same scripts  used to build the Path A package, so nothing has to be written twice. </w:t>
      </w:r>
      <w:r>
        <w:rPr/>
        <w:t>T</w:t>
      </w:r>
      <w:r>
        <w:rPr/>
        <w:t xml:space="preserve">his </w:t>
      </w:r>
      <w:r>
        <w:rPr/>
        <w:t>will be</w:t>
      </w:r>
      <w:r>
        <w:rPr/>
        <w:t xml:space="preserve"> an optional stretch assignment rather than a class-wide requirement.</w:t>
      </w:r>
    </w:p>
    <w:p>
      <w:pPr>
        <w:pStyle w:val="Heading2"/>
        <w:spacing w:before="280" w:after="140"/>
        <w:jc w:val="both"/>
        <w:rPr/>
      </w:pPr>
      <w:r>
        <w:rPr/>
        <w:t xml:space="preserve">2.4 Quick Reference </w:t>
      </w:r>
      <w:r>
        <w:rPr/>
        <w:t>on things that could go wrong and How to Fix It!</w:t>
      </w:r>
    </w:p>
    <w:tbl>
      <w:tblPr>
        <w:tblW w:w="9360" w:type="dxa"/>
        <w:jc w:val="left"/>
        <w:tblInd w:w="0" w:type="dxa"/>
        <w:tblLayout w:type="fixed"/>
        <w:tblCellMar>
          <w:top w:w="60" w:type="dxa"/>
          <w:left w:w="100" w:type="dxa"/>
          <w:bottom w:w="60" w:type="dxa"/>
          <w:right w:w="100" w:type="dxa"/>
        </w:tblCellMar>
      </w:tblPr>
      <w:tblGrid>
        <w:gridCol w:w="2620"/>
        <w:gridCol w:w="2434"/>
        <w:gridCol w:w="4306"/>
      </w:tblGrid>
      <w:tr>
        <w:trPr>
          <w:tblHeader w:val="true"/>
        </w:trPr>
        <w:tc>
          <w:tcPr>
            <w:tcW w:w="262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Symptom</w:t>
            </w:r>
          </w:p>
        </w:tc>
        <w:tc>
          <w:tcPr>
            <w:tcW w:w="2434"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Likely cause</w:t>
            </w:r>
          </w:p>
        </w:tc>
        <w:tc>
          <w:tcPr>
            <w:tcW w:w="4306"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Fix</w:t>
            </w:r>
          </w:p>
        </w:tc>
      </w:tr>
      <w:tr>
        <w:trPr/>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MemoryError loading the RNA-Seq matrix</w:t>
            </w:r>
          </w:p>
        </w:tc>
        <w:tc>
          <w:tcPr>
            <w:tcW w:w="243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Full matrix loaded uncompressed</w:t>
            </w:r>
          </w:p>
        </w:tc>
        <w:tc>
          <w:tcPr>
            <w:tcW w:w="430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Use the provided parquet package; on Path B, load with dtype='float32' and chunksize</w:t>
            </w:r>
          </w:p>
        </w:tc>
      </w:tr>
      <w:tr>
        <w:trPr/>
        <w:tc>
          <w:tcPr>
            <w:tcW w:w="262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Model training 'hangs' for 20+ minutes</w:t>
            </w:r>
          </w:p>
        </w:tc>
        <w:tc>
          <w:tcPr>
            <w:tcW w:w="243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Hyperparameter grid too large for the CPU tier</w:t>
            </w:r>
          </w:p>
        </w:tc>
        <w:tc>
          <w:tcPr>
            <w:tcW w:w="430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Switch to the Tier-1 grid in Section 4.4; reduce n_estimators; set n_jobs=2</w:t>
            </w:r>
          </w:p>
        </w:tc>
      </w:tr>
      <w:tr>
        <w:trPr/>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SHAP step never finishes</w:t>
            </w:r>
          </w:p>
        </w:tc>
        <w:tc>
          <w:tcPr>
            <w:tcW w:w="243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KernelExplainer used, or explaining all features</w:t>
            </w:r>
          </w:p>
        </w:tc>
        <w:tc>
          <w:tcPr>
            <w:tcW w:w="430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Confirm TreeExplainer is used; explain only the top ~50 features</w:t>
            </w:r>
          </w:p>
        </w:tc>
      </w:tr>
      <w:tr>
        <w:trPr/>
        <w:tc>
          <w:tcPr>
            <w:tcW w:w="262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pip install torch / tensorflow fails or hangs</w:t>
            </w:r>
          </w:p>
        </w:tc>
        <w:tc>
          <w:tcPr>
            <w:tcW w:w="243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Not needed for the required path</w:t>
            </w:r>
          </w:p>
        </w:tc>
        <w:tc>
          <w:tcPr>
            <w:tcW w:w="430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 xml:space="preserve">Skip it. </w:t>
            </w:r>
            <w:r>
              <w:rPr>
                <w:sz w:val="20"/>
                <w:szCs w:val="20"/>
              </w:rPr>
              <w:t>Tensorflow nor Pytorch not needed on Path B</w:t>
            </w:r>
          </w:p>
        </w:tc>
      </w:tr>
      <w:tr>
        <w:trPr/>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Docker won't start / laptop freezes</w:t>
            </w:r>
          </w:p>
        </w:tc>
        <w:tc>
          <w:tcPr>
            <w:tcW w:w="243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Docker daemon overhead</w:t>
            </w:r>
          </w:p>
        </w:tc>
        <w:tc>
          <w:tcPr>
            <w:tcW w:w="430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Skip Docker; use the conda/venv Flask dev-server path in Phase 4</w:t>
            </w:r>
          </w:p>
        </w:tc>
      </w:tr>
      <w:tr>
        <w:trPr/>
        <w:tc>
          <w:tcPr>
            <w:tcW w:w="262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A phase genuinely won't finish locally</w:t>
            </w:r>
          </w:p>
        </w:tc>
        <w:tc>
          <w:tcPr>
            <w:tcW w:w="243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Hardware is below the minimum spec</w:t>
            </w:r>
          </w:p>
        </w:tc>
        <w:tc>
          <w:tcPr>
            <w:tcW w:w="430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Switch that phase to the provided Colab notebook - identical code, free cloud RAM</w:t>
            </w:r>
          </w:p>
        </w:tc>
      </w:tr>
    </w:tbl>
    <w:p>
      <w:pPr>
        <w:pStyle w:val="Normal"/>
        <w:spacing w:before="0" w:after="120"/>
        <w:jc w:val="both"/>
        <w:rPr/>
      </w:pPr>
      <w:r>
        <w:rPr/>
      </w:r>
    </w:p>
    <w:p>
      <w:pPr>
        <w:pStyle w:val="Heading1"/>
        <w:spacing w:before="360" w:after="180"/>
        <w:jc w:val="both"/>
        <w:rPr/>
      </w:pPr>
      <w:r>
        <w:rPr/>
        <w:t>3. DATA ACQUISITION GUIDE</w:t>
      </w:r>
    </w:p>
    <w:p>
      <w:pPr>
        <w:pStyle w:val="Heading2"/>
        <w:spacing w:before="280" w:after="140"/>
        <w:jc w:val="both"/>
        <w:rPr/>
      </w:pPr>
      <w:r>
        <w:rPr/>
        <w:t>3.1 TCGA-BRCA Dataset Overview</w:t>
      </w:r>
    </w:p>
    <w:p>
      <w:pPr>
        <w:pStyle w:val="Normal"/>
        <w:spacing w:before="0" w:after="140"/>
        <w:jc w:val="both"/>
        <w:rPr/>
      </w:pPr>
      <w:r>
        <w:rPr/>
        <w:t>The Cancer Genome Atlas (TCGA-BRCA) project provides comprehensive multi-omics profiles for roughly 1,100 breast cancer patients, including molecular subtype annotations (ER/PR/HER2 status, PAM50 calls) that make the subtype-stratified analysis in Phase 2 possible.</w:t>
      </w:r>
    </w:p>
    <w:p>
      <w:pPr>
        <w:pStyle w:val="Heading2"/>
        <w:spacing w:before="280" w:after="140"/>
        <w:jc w:val="both"/>
        <w:rPr/>
      </w:pPr>
      <w:r>
        <w:rPr/>
        <w:t>3.2 Required Data Types</w:t>
      </w:r>
    </w:p>
    <w:tbl>
      <w:tblPr>
        <w:tblW w:w="9360" w:type="dxa"/>
        <w:jc w:val="left"/>
        <w:tblInd w:w="0" w:type="dxa"/>
        <w:tblLayout w:type="fixed"/>
        <w:tblCellMar>
          <w:top w:w="60" w:type="dxa"/>
          <w:left w:w="100" w:type="dxa"/>
          <w:bottom w:w="60" w:type="dxa"/>
          <w:right w:w="100" w:type="dxa"/>
        </w:tblCellMar>
      </w:tblPr>
      <w:tblGrid>
        <w:gridCol w:w="3744"/>
        <w:gridCol w:w="3276"/>
        <w:gridCol w:w="2340"/>
      </w:tblGrid>
      <w:tr>
        <w:trPr>
          <w:tblHeader w:val="true"/>
        </w:trPr>
        <w:tc>
          <w:tcPr>
            <w:tcW w:w="3744"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Data Type</w:t>
            </w:r>
          </w:p>
        </w:tc>
        <w:tc>
          <w:tcPr>
            <w:tcW w:w="3276"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Platform</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Sample Count</w:t>
            </w:r>
          </w:p>
        </w:tc>
      </w:tr>
      <w:tr>
        <w:trPr/>
        <w:tc>
          <w:tcPr>
            <w:tcW w:w="374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CNV (Copy Number)</w:t>
            </w:r>
          </w:p>
        </w:tc>
        <w:tc>
          <w:tcPr>
            <w:tcW w:w="327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SNP6.0 Array</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~1,080</w:t>
            </w:r>
          </w:p>
        </w:tc>
      </w:tr>
      <w:tr>
        <w:trPr/>
        <w:tc>
          <w:tcPr>
            <w:tcW w:w="374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RNA-Seq</w:t>
            </w:r>
          </w:p>
        </w:tc>
        <w:tc>
          <w:tcPr>
            <w:tcW w:w="327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Illumina HiSeq (STAR counts)</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~1,100</w:t>
            </w:r>
          </w:p>
        </w:tc>
      </w:tr>
      <w:tr>
        <w:trPr/>
        <w:tc>
          <w:tcPr>
            <w:tcW w:w="3744"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Proteomics</w:t>
            </w:r>
          </w:p>
        </w:tc>
        <w:tc>
          <w:tcPr>
            <w:tcW w:w="327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RPPA</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~900</w:t>
            </w:r>
          </w:p>
        </w:tc>
      </w:tr>
      <w:tr>
        <w:trPr/>
        <w:tc>
          <w:tcPr>
            <w:tcW w:w="3744"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Clinical + Subtype (ER/PR/HER2, PAM50)</w:t>
            </w:r>
          </w:p>
        </w:tc>
        <w:tc>
          <w:tcPr>
            <w:tcW w:w="327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Clinical Records / cBioPortal</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~1,100</w:t>
            </w:r>
          </w:p>
        </w:tc>
      </w:tr>
    </w:tbl>
    <w:p>
      <w:pPr>
        <w:pStyle w:val="Heading2"/>
        <w:spacing w:before="280" w:after="140"/>
        <w:jc w:val="both"/>
        <w:rPr/>
      </w:pPr>
      <w:r>
        <w:rPr/>
        <w:t>3.3 Full Data Build (source for Path A, also Path B reference)</w:t>
      </w:r>
    </w:p>
    <w:p>
      <w:pPr>
        <w:pStyle w:val="Heading3"/>
        <w:spacing w:before="200" w:after="100"/>
        <w:jc w:val="both"/>
        <w:rPr/>
      </w:pPr>
      <w:r>
        <w:rPr/>
        <w:t>Step 1: Install the GDC Data Transfer Tool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wget https://gdc.cancer.gov/files/public/file/gdc-client_v1.6.1_Ubuntu_x64.zip</w:t>
            </w:r>
          </w:p>
          <w:p>
            <w:pPr>
              <w:pStyle w:val="Normal"/>
              <w:spacing w:before="0" w:after="20"/>
              <w:jc w:val="both"/>
              <w:rPr/>
            </w:pPr>
            <w:r>
              <w:rPr>
                <w:rFonts w:eastAsia="Consolas" w:cs="Consolas" w:ascii="Consolas" w:hAnsi="Consolas"/>
                <w:color w:val="D4D4D4"/>
                <w:sz w:val="18"/>
                <w:szCs w:val="18"/>
              </w:rPr>
              <w:t>unzip gdc-client_v1.6.1_Ubuntu_x64.zip</w:t>
            </w:r>
          </w:p>
          <w:p>
            <w:pPr>
              <w:pStyle w:val="Normal"/>
              <w:spacing w:before="0" w:after="20"/>
              <w:jc w:val="both"/>
              <w:rPr/>
            </w:pPr>
            <w:r>
              <w:rPr>
                <w:rFonts w:eastAsia="Consolas" w:cs="Consolas" w:ascii="Consolas" w:hAnsi="Consolas"/>
                <w:color w:val="D4D4D4"/>
                <w:sz w:val="18"/>
                <w:szCs w:val="18"/>
              </w:rPr>
              <w:t>chmod +x gdc-client</w:t>
            </w:r>
          </w:p>
        </w:tc>
      </w:tr>
    </w:tbl>
    <w:p>
      <w:pPr>
        <w:pStyle w:val="Heading3"/>
        <w:spacing w:before="200" w:after="100"/>
        <w:jc w:val="both"/>
        <w:rPr/>
      </w:pPr>
      <w:r>
        <w:rPr/>
        <w:t>Step 2: Access TCGA Data Portal</w:t>
      </w:r>
    </w:p>
    <w:p>
      <w:pPr>
        <w:pStyle w:val="Normal"/>
        <w:spacing w:before="0" w:after="140"/>
        <w:jc w:val="both"/>
        <w:rPr/>
      </w:pPr>
      <w:r>
        <w:rPr/>
        <w:t>Navigate to: Repository → Project: TCGA-BRCA</w:t>
      </w:r>
    </w:p>
    <w:p>
      <w:pPr>
        <w:pStyle w:val="Heading3"/>
        <w:spacing w:before="200" w:after="100"/>
        <w:jc w:val="both"/>
        <w:rPr/>
      </w:pPr>
      <w:r>
        <w:rPr/>
        <w:t>Step 3–5: Download CNV, RNA-Seq, and Clinical/Subtype Data (R, recommended)</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library(TCGAbiolinks)</w:t>
            </w:r>
          </w:p>
          <w:p>
            <w:pPr>
              <w:pStyle w:val="Normal"/>
              <w:spacing w:before="0" w:after="20"/>
              <w:jc w:val="both"/>
              <w:rPr/>
            </w:pPr>
            <w:r>
              <w:rPr>
                <w:rFonts w:eastAsia="Consolas" w:cs="Consolas" w:ascii="Consolas" w:hAnsi="Consolas"/>
                <w:color w:val="D4D4D4"/>
                <w:sz w:val="18"/>
                <w:szCs w:val="18"/>
              </w:rPr>
              <w:t>library(SummarizedExperiment)</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 CNV Data</w:t>
            </w:r>
          </w:p>
          <w:p>
            <w:pPr>
              <w:pStyle w:val="Normal"/>
              <w:spacing w:before="0" w:after="20"/>
              <w:jc w:val="both"/>
              <w:rPr/>
            </w:pPr>
            <w:r>
              <w:rPr>
                <w:rFonts w:eastAsia="Consolas" w:cs="Consolas" w:ascii="Consolas" w:hAnsi="Consolas"/>
                <w:color w:val="D4D4D4"/>
                <w:sz w:val="18"/>
                <w:szCs w:val="18"/>
              </w:rPr>
              <w:t>query_cnv &lt;- GDCquery(project='TCGA-BRCA', data.category='Copy Number Variation',</w:t>
            </w:r>
          </w:p>
          <w:p>
            <w:pPr>
              <w:pStyle w:val="Normal"/>
              <w:spacing w:before="0" w:after="20"/>
              <w:jc w:val="both"/>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data.type='Masked Copy Number Segment', workflow.type='DNAcopy')</w:t>
            </w:r>
          </w:p>
          <w:p>
            <w:pPr>
              <w:pStyle w:val="Normal"/>
              <w:spacing w:before="0" w:after="20"/>
              <w:jc w:val="both"/>
              <w:rPr/>
            </w:pPr>
            <w:r>
              <w:rPr>
                <w:rFonts w:eastAsia="Consolas" w:cs="Consolas" w:ascii="Consolas" w:hAnsi="Consolas"/>
                <w:color w:val="D4D4D4"/>
                <w:sz w:val="18"/>
                <w:szCs w:val="18"/>
              </w:rPr>
              <w:t>GDCdownload(query_cnv)</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 RNA-Seq Data</w:t>
            </w:r>
          </w:p>
          <w:p>
            <w:pPr>
              <w:pStyle w:val="Normal"/>
              <w:spacing w:before="0" w:after="20"/>
              <w:jc w:val="both"/>
              <w:rPr/>
            </w:pPr>
            <w:r>
              <w:rPr>
                <w:rFonts w:eastAsia="Consolas" w:cs="Consolas" w:ascii="Consolas" w:hAnsi="Consolas"/>
                <w:color w:val="D4D4D4"/>
                <w:sz w:val="18"/>
                <w:szCs w:val="18"/>
              </w:rPr>
              <w:t>query_rna &lt;- GDCquery(project='TCGA-BRCA', data.category='Transcriptome Profiling',</w:t>
            </w:r>
          </w:p>
          <w:p>
            <w:pPr>
              <w:pStyle w:val="Normal"/>
              <w:spacing w:before="0" w:after="20"/>
              <w:jc w:val="both"/>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data.type='Gene Expression Quantification', workflow.type='STAR - Counts')</w:t>
            </w:r>
          </w:p>
          <w:p>
            <w:pPr>
              <w:pStyle w:val="Normal"/>
              <w:spacing w:before="0" w:after="20"/>
              <w:jc w:val="both"/>
              <w:rPr/>
            </w:pPr>
            <w:r>
              <w:rPr>
                <w:rFonts w:eastAsia="Consolas" w:cs="Consolas" w:ascii="Consolas" w:hAnsi="Consolas"/>
                <w:color w:val="D4D4D4"/>
                <w:sz w:val="18"/>
                <w:szCs w:val="18"/>
              </w:rPr>
              <w:t>GDCdownload(query_rna)</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 Clinical + subtype data (ER/PR/HER2, PAM50)</w:t>
            </w:r>
          </w:p>
          <w:p>
            <w:pPr>
              <w:pStyle w:val="Normal"/>
              <w:spacing w:before="0" w:after="20"/>
              <w:jc w:val="both"/>
              <w:rPr/>
            </w:pPr>
            <w:r>
              <w:rPr>
                <w:rFonts w:eastAsia="Consolas" w:cs="Consolas" w:ascii="Consolas" w:hAnsi="Consolas"/>
                <w:color w:val="D4D4D4"/>
                <w:sz w:val="18"/>
                <w:szCs w:val="18"/>
              </w:rPr>
              <w:t>clinical &lt;- GDCquery_clinic('TCGA-BRCA', 'clinical')</w:t>
            </w:r>
          </w:p>
          <w:p>
            <w:pPr>
              <w:pStyle w:val="Normal"/>
              <w:spacing w:before="0" w:after="20"/>
              <w:jc w:val="both"/>
              <w:rPr/>
            </w:pPr>
            <w:r>
              <w:rPr>
                <w:rFonts w:eastAsia="Consolas" w:cs="Consolas" w:ascii="Consolas" w:hAnsi="Consolas"/>
                <w:color w:val="D4D4D4"/>
                <w:sz w:val="18"/>
                <w:szCs w:val="18"/>
              </w:rPr>
              <w:t>subtypes &lt;- TCGAquery_subtype(tumor = 'BRCA')</w:t>
            </w:r>
          </w:p>
          <w:p>
            <w:pPr>
              <w:pStyle w:val="Normal"/>
              <w:spacing w:before="0" w:after="20"/>
              <w:jc w:val="both"/>
              <w:rPr/>
            </w:pPr>
            <w:r>
              <w:rPr>
                <w:rFonts w:eastAsia="Consolas" w:cs="Consolas" w:ascii="Consolas" w:hAnsi="Consolas"/>
                <w:color w:val="D4D4D4"/>
                <w:sz w:val="18"/>
                <w:szCs w:val="18"/>
              </w:rPr>
              <w:t>write.csv(clinical, 'tcga_brca_clinical.csv')</w:t>
            </w:r>
          </w:p>
          <w:p>
            <w:pPr>
              <w:pStyle w:val="Normal"/>
              <w:spacing w:before="0" w:after="20"/>
              <w:jc w:val="both"/>
              <w:rPr/>
            </w:pPr>
            <w:r>
              <w:rPr>
                <w:rFonts w:eastAsia="Consolas" w:cs="Consolas" w:ascii="Consolas" w:hAnsi="Consolas"/>
                <w:color w:val="D4D4D4"/>
                <w:sz w:val="18"/>
                <w:szCs w:val="18"/>
              </w:rPr>
              <w:t>write.csv(subtypes, 'tcga_brca_subtypes.csv')</w:t>
            </w:r>
          </w:p>
        </w:tc>
      </w:tr>
    </w:tbl>
    <w:p>
      <w:pPr>
        <w:pStyle w:val="Heading3"/>
        <w:spacing w:before="200" w:after="100"/>
        <w:jc w:val="both"/>
        <w:rPr/>
      </w:pPr>
      <w:r>
        <w:rPr/>
        <w:t>Step 6: Download Proteomics (RPPA) Data</w:t>
      </w:r>
    </w:p>
    <w:p>
      <w:pPr>
        <w:pStyle w:val="Normal"/>
        <w:spacing w:before="0" w:after="140"/>
        <w:jc w:val="both"/>
        <w:rPr/>
      </w:pPr>
      <w:r>
        <w:rPr/>
        <w:t>Via cBioPortal: https://www.cbioportal.org/study/summary?id=brca_tcga_pan_can_atlas_2018 → Download → locate data_rppa.txt.</w:t>
      </w:r>
    </w:p>
    <w:p>
      <w:pPr>
        <w:pStyle w:val="Heading3"/>
        <w:spacing w:before="200" w:after="100"/>
        <w:jc w:val="both"/>
        <w:rPr/>
      </w:pPr>
      <w:r>
        <w:rPr/>
        <w:t>Step 7: Build and Publish the Staged Package</w:t>
      </w:r>
    </w:p>
    <w:p>
      <w:pPr>
        <w:pStyle w:val="Normal"/>
        <w:spacing w:before="0" w:after="140"/>
        <w:jc w:val="both"/>
        <w:rPr/>
      </w:pPr>
      <w:r>
        <w:rPr/>
        <w:t>After preprocessing and integration (Phases 1.2–1.3 in Section 4.2), export the final integrated dataframe as a single Parquet file, write a one-page README describing columns and provenance, compute a SHA-256 checksum, and publish both to a GitHub Release. This is the artifact students fetch in Section 3.4.</w:t>
      </w:r>
    </w:p>
    <w:p>
      <w:pPr>
        <w:pStyle w:val="Heading2"/>
        <w:spacing w:before="280" w:after="140"/>
        <w:jc w:val="both"/>
        <w:rPr/>
      </w:pPr>
      <w:r>
        <w:rPr/>
        <w:t xml:space="preserve">3.4 Path A </w:t>
      </w:r>
      <w:r>
        <w:rPr/>
        <w:t>(</w:t>
      </w:r>
      <w:r>
        <w:rPr/>
        <w:t>default): Fetching the Pre-Integrated Package</w:t>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DDEBF7" w:val="clear"/>
          </w:tcPr>
          <w:p>
            <w:pPr>
              <w:pStyle w:val="Normal"/>
              <w:spacing w:before="0" w:after="80"/>
              <w:jc w:val="both"/>
              <w:rPr/>
            </w:pPr>
            <w:r>
              <w:rPr>
                <w:b/>
                <w:bCs/>
                <w:color w:val="1F4E78"/>
                <w:sz w:val="20"/>
                <w:szCs w:val="20"/>
              </w:rPr>
              <w:t>COMPUTE CALLOUT — 4GB RAM / CPU-ONLY TIER</w:t>
            </w:r>
          </w:p>
          <w:p>
            <w:pPr>
              <w:pStyle w:val="Normal"/>
              <w:spacing w:before="0" w:after="60"/>
              <w:jc w:val="both"/>
              <w:rPr/>
            </w:pPr>
            <w:r>
              <w:rPr>
                <w:sz w:val="20"/>
                <w:szCs w:val="20"/>
              </w:rPr>
              <w:t>Expected download: well under 500MB. Expected load time on a 4GB RAM machine: a few seconds, using pandas.read_parquet.</w:t>
            </w:r>
          </w:p>
          <w:p>
            <w:pPr>
              <w:pStyle w:val="Normal"/>
              <w:spacing w:before="0" w:after="60"/>
              <w:jc w:val="both"/>
              <w:rPr/>
            </w:pPr>
            <w:r>
              <w:rPr>
                <w:sz w:val="20"/>
                <w:szCs w:val="20"/>
              </w:rPr>
              <w:t>No GDC/cBioPortal account or bandwidth needed — this replaces the 30–60 minute raw download entirely.</w:t>
            </w:r>
          </w:p>
        </w:tc>
      </w:tr>
      <w:tr>
        <w:trPr/>
        <w:tc>
          <w:tcPr>
            <w:tcW w:w="9360" w:type="dxa"/>
            <w:tcBorders>
              <w:top w:val="single" w:sz="4" w:space="0" w:color="CCCCCC"/>
              <w:left w:val="single" w:sz="4" w:space="0" w:color="CCCCCC"/>
              <w:bottom w:val="single" w:sz="4" w:space="0" w:color="CCCCCC"/>
              <w:right w:val="single" w:sz="4" w:space="0" w:color="CCCCCC"/>
            </w:tcBorders>
            <w:shd w:color="auto" w:fill="1E1E1E" w:val="clear"/>
            <w:tcMar>
              <w:top w:w="120" w:type="dxa"/>
              <w:bottom w:w="120" w:type="dxa"/>
            </w:tcMar>
          </w:tcPr>
          <w:p>
            <w:pPr>
              <w:pStyle w:val="Normal"/>
              <w:spacing w:before="0" w:after="20"/>
              <w:jc w:val="both"/>
              <w:rPr/>
            </w:pPr>
            <w:r>
              <w:rPr>
                <w:rFonts w:eastAsia="Consolas" w:cs="Consolas" w:ascii="Consolas" w:hAnsi="Consolas"/>
                <w:color w:val="D4D4D4"/>
                <w:sz w:val="18"/>
                <w:szCs w:val="18"/>
              </w:rPr>
              <w:t># Option 1: pip-installable helper (gdown) if the package is on Drive</w:t>
            </w:r>
          </w:p>
          <w:p>
            <w:pPr>
              <w:pStyle w:val="Normal"/>
              <w:spacing w:before="0" w:after="20"/>
              <w:jc w:val="both"/>
              <w:rPr/>
            </w:pPr>
            <w:r>
              <w:rPr>
                <w:rFonts w:eastAsia="Consolas" w:cs="Consolas" w:ascii="Consolas" w:hAnsi="Consolas"/>
                <w:color w:val="D4D4D4"/>
                <w:sz w:val="18"/>
                <w:szCs w:val="18"/>
              </w:rPr>
              <w:t>pip install gdown</w:t>
            </w:r>
          </w:p>
          <w:p>
            <w:pPr>
              <w:pStyle w:val="Normal"/>
              <w:spacing w:before="0" w:after="20"/>
              <w:jc w:val="both"/>
              <w:rPr/>
            </w:pPr>
            <w:r>
              <w:rPr>
                <w:rFonts w:eastAsia="Consolas" w:cs="Consolas" w:ascii="Consolas" w:hAnsi="Consolas"/>
                <w:color w:val="D4D4D4"/>
                <w:sz w:val="18"/>
                <w:szCs w:val="18"/>
              </w:rPr>
              <w:t>gdown &lt;shared-file-id&gt; -O data/processed/brca_integrated_v1.parquet</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 Option 2: GitHub Release asset</w:t>
            </w:r>
          </w:p>
          <w:p>
            <w:pPr>
              <w:pStyle w:val="Normal"/>
              <w:spacing w:before="0" w:after="20"/>
              <w:jc w:val="both"/>
              <w:rPr/>
            </w:pPr>
            <w:r>
              <w:rPr>
                <w:rFonts w:eastAsia="Consolas" w:cs="Consolas" w:ascii="Consolas" w:hAnsi="Consolas"/>
                <w:color w:val="D4D4D4"/>
                <w:sz w:val="18"/>
                <w:szCs w:val="18"/>
              </w:rPr>
              <w:t>wget https://github.com/&lt;your-org&gt;/brca_metastasis_project/releases/download/v1/brca_integrated_v1.parquet -P data/processed/</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 Verify integrity</w:t>
            </w:r>
          </w:p>
          <w:p>
            <w:pPr>
              <w:pStyle w:val="Normal"/>
              <w:spacing w:before="0" w:after="20"/>
              <w:jc w:val="both"/>
              <w:rPr/>
            </w:pPr>
            <w:r>
              <w:rPr>
                <w:rFonts w:eastAsia="Consolas" w:cs="Consolas" w:ascii="Consolas" w:hAnsi="Consolas"/>
                <w:color w:val="D4D4D4"/>
                <w:sz w:val="18"/>
                <w:szCs w:val="18"/>
              </w:rPr>
              <w:t>sha256sum data/processed/brca_integrated_v1.parquet</w:t>
            </w:r>
          </w:p>
          <w:p>
            <w:pPr>
              <w:pStyle w:val="Normal"/>
              <w:spacing w:before="0" w:after="20"/>
              <w:jc w:val="both"/>
              <w:rPr/>
            </w:pPr>
            <w:r>
              <w:rPr>
                <w:rFonts w:eastAsia="Consolas" w:cs="Consolas" w:ascii="Consolas" w:hAnsi="Consolas"/>
                <w:color w:val="D4D4D4"/>
                <w:sz w:val="18"/>
                <w:szCs w:val="18"/>
              </w:rPr>
              <w:t># compare against the checksum in the README</w:t>
            </w:r>
          </w:p>
        </w:tc>
      </w:tr>
    </w:tbl>
    <w:p>
      <w:pPr>
        <w:pStyle w:val="Heading2"/>
        <w:spacing w:before="280" w:after="140"/>
        <w:jc w:val="both"/>
        <w:rPr/>
      </w:pPr>
      <w:r>
        <w:rPr/>
        <w:t xml:space="preserve">3.5 Path B </w:t>
      </w:r>
      <w:r>
        <w:rPr/>
        <w:t>(</w:t>
      </w:r>
      <w:r>
        <w:rPr/>
        <w:t>optional): Full Self-Download</w:t>
      </w:r>
    </w:p>
    <w:p>
      <w:pPr>
        <w:pStyle w:val="Normal"/>
        <w:spacing w:before="0" w:after="140"/>
        <w:jc w:val="both"/>
        <w:rPr/>
      </w:pPr>
      <w:r>
        <w:rPr/>
        <w:t>Only attempt this if you have 8GB+ RAM, or are running the notebook in the Colab fallback. Follow Section 3.3 exactly, using your own GDC/TCGAbiolinks credentials-free download (TCGA is open-access). Expect 30–60 minutes depending on connection speed, and budget disk space of several GB for raw files before filtering.</w:t>
      </w:r>
    </w:p>
    <w:p>
      <w:pPr>
        <w:pStyle w:val="Normal"/>
        <w:spacing w:before="0" w:after="120"/>
        <w:jc w:val="both"/>
        <w:rPr/>
      </w:pPr>
      <w:r>
        <w:rPr/>
      </w:r>
    </w:p>
    <w:p>
      <w:pPr>
        <w:pStyle w:val="Heading1"/>
        <w:spacing w:before="360" w:after="180"/>
        <w:jc w:val="both"/>
        <w:rPr/>
      </w:pPr>
      <w:r>
        <w:rPr/>
        <w:t>4. IMPLEMENTATION PHASES</w:t>
      </w:r>
    </w:p>
    <w:p>
      <w:pPr>
        <w:pStyle w:val="Heading2"/>
        <w:spacing w:before="280" w:after="140"/>
        <w:jc w:val="both"/>
        <w:rPr/>
      </w:pPr>
      <w:r>
        <w:rPr/>
        <w:t>4.1 Project Timeline</w:t>
      </w:r>
    </w:p>
    <w:tbl>
      <w:tblPr>
        <w:tblW w:w="9360" w:type="dxa"/>
        <w:jc w:val="left"/>
        <w:tblInd w:w="0" w:type="dxa"/>
        <w:tblLayout w:type="fixed"/>
        <w:tblCellMar>
          <w:top w:w="60" w:type="dxa"/>
          <w:left w:w="100" w:type="dxa"/>
          <w:bottom w:w="60" w:type="dxa"/>
          <w:right w:w="100" w:type="dxa"/>
        </w:tblCellMar>
      </w:tblPr>
      <w:tblGrid>
        <w:gridCol w:w="1403"/>
        <w:gridCol w:w="5336"/>
        <w:gridCol w:w="2620"/>
      </w:tblGrid>
      <w:tr>
        <w:trPr>
          <w:tblHeader w:val="true"/>
        </w:trPr>
        <w:tc>
          <w:tcPr>
            <w:tcW w:w="1403"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Phase</w:t>
            </w:r>
          </w:p>
        </w:tc>
        <w:tc>
          <w:tcPr>
            <w:tcW w:w="5336"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Key Activities</w:t>
            </w:r>
          </w:p>
        </w:tc>
        <w:tc>
          <w:tcPr>
            <w:tcW w:w="262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Compute Note</w:t>
            </w:r>
          </w:p>
        </w:tc>
      </w:tr>
      <w:tr>
        <w:trPr/>
        <w:tc>
          <w:tcPr>
            <w:tcW w:w="1403"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1</w:t>
            </w:r>
          </w:p>
        </w:tc>
        <w:tc>
          <w:tcPr>
            <w:tcW w:w="533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Environment setup, data staging/preprocessing, QC</w:t>
            </w:r>
          </w:p>
        </w:tc>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Light on Path A (default); Path B needs 8GB+ RAM</w:t>
            </w:r>
          </w:p>
        </w:tc>
      </w:tr>
      <w:tr>
        <w:trPr/>
        <w:tc>
          <w:tcPr>
            <w:tcW w:w="1403"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2</w:t>
            </w:r>
          </w:p>
        </w:tc>
        <w:tc>
          <w:tcPr>
            <w:tcW w:w="533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EDA, subtype-stratified CNV analysis, feature engineering</w:t>
            </w:r>
          </w:p>
        </w:tc>
        <w:tc>
          <w:tcPr>
            <w:tcW w:w="262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Ends with the critical feature-count reduction</w:t>
            </w:r>
          </w:p>
        </w:tc>
      </w:tr>
      <w:tr>
        <w:trPr/>
        <w:tc>
          <w:tcPr>
            <w:tcW w:w="1403"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3</w:t>
            </w:r>
          </w:p>
        </w:tc>
        <w:tc>
          <w:tcPr>
            <w:tcW w:w="533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Model training, temporal/survival modeling, validation</w:t>
            </w:r>
          </w:p>
        </w:tc>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Hardware-tiered grids — see 4.4</w:t>
            </w:r>
          </w:p>
        </w:tc>
      </w:tr>
      <w:tr>
        <w:trPr/>
        <w:tc>
          <w:tcPr>
            <w:tcW w:w="1403"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4</w:t>
            </w:r>
          </w:p>
        </w:tc>
        <w:tc>
          <w:tcPr>
            <w:tcW w:w="533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Tool and web deployment</w:t>
            </w:r>
          </w:p>
        </w:tc>
        <w:tc>
          <w:tcPr>
            <w:tcW w:w="262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Docker optional, not required</w:t>
            </w:r>
          </w:p>
        </w:tc>
      </w:tr>
      <w:tr>
        <w:trPr/>
        <w:tc>
          <w:tcPr>
            <w:tcW w:w="1403"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5</w:t>
            </w:r>
          </w:p>
        </w:tc>
        <w:tc>
          <w:tcPr>
            <w:tcW w:w="533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Manuscript preparation and submission</w:t>
            </w:r>
          </w:p>
        </w:tc>
        <w:tc>
          <w:tcPr>
            <w:tcW w:w="262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Negligible compute</w:t>
            </w:r>
          </w:p>
        </w:tc>
      </w:tr>
    </w:tbl>
    <w:p>
      <w:pPr>
        <w:pStyle w:val="Heading2"/>
        <w:spacing w:before="280" w:after="140"/>
        <w:jc w:val="both"/>
        <w:rPr/>
      </w:pPr>
      <w:r>
        <w:rPr/>
        <w:t>4.2 PHASE 1: Data Collection &amp; Preprocessing</w:t>
      </w:r>
    </w:p>
    <w:p>
      <w:pPr>
        <w:pStyle w:val="Heading3"/>
        <w:spacing w:before="200" w:after="100"/>
        <w:jc w:val="both"/>
        <w:rPr/>
      </w:pPr>
      <w:r>
        <w:rPr/>
        <w:t>M</w:t>
      </w:r>
      <w:r>
        <w:rPr/>
        <w:t>1: Environment Setup &amp; Data Staging</w:t>
      </w:r>
    </w:p>
    <w:p>
      <w:pPr>
        <w:pStyle w:val="Normal"/>
        <w:spacing w:before="0" w:after="140"/>
        <w:jc w:val="both"/>
        <w:rPr/>
      </w:pPr>
      <w:r>
        <w:rPr/>
        <w:t>Step 1.1: Create Project Directory Structure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mkdir -p brca_metastasis_project</w:t>
            </w:r>
          </w:p>
          <w:p>
            <w:pPr>
              <w:pStyle w:val="Normal"/>
              <w:spacing w:before="0" w:after="20"/>
              <w:jc w:val="both"/>
              <w:rPr/>
            </w:pPr>
            <w:r>
              <w:rPr>
                <w:rFonts w:eastAsia="Consolas" w:cs="Consolas" w:ascii="Consolas" w:hAnsi="Consolas"/>
                <w:color w:val="D4D4D4"/>
                <w:sz w:val="18"/>
                <w:szCs w:val="18"/>
              </w:rPr>
              <w:t>cd brca_metastasis_project</w:t>
            </w:r>
          </w:p>
          <w:p>
            <w:pPr>
              <w:pStyle w:val="Normal"/>
              <w:spacing w:before="0" w:after="20"/>
              <w:jc w:val="both"/>
              <w:rPr/>
            </w:pPr>
            <w:r>
              <w:rPr>
                <w:rFonts w:eastAsia="Consolas" w:cs="Consolas" w:ascii="Consolas" w:hAnsi="Consolas"/>
                <w:color w:val="D4D4D4"/>
                <w:sz w:val="18"/>
                <w:szCs w:val="18"/>
              </w:rPr>
              <w:t>mkdir -p data/{raw,processed,results}/{cnv,rnaseq,proteomics,clinical}</w:t>
            </w:r>
          </w:p>
          <w:p>
            <w:pPr>
              <w:pStyle w:val="Normal"/>
              <w:spacing w:before="0" w:after="20"/>
              <w:jc w:val="both"/>
              <w:rPr/>
            </w:pPr>
            <w:r>
              <w:rPr>
                <w:rFonts w:eastAsia="Consolas" w:cs="Consolas" w:ascii="Consolas" w:hAnsi="Consolas"/>
                <w:color w:val="D4D4D4"/>
                <w:sz w:val="18"/>
                <w:szCs w:val="18"/>
              </w:rPr>
              <w:t>mkdir -p src notebooks models logs</w:t>
            </w:r>
          </w:p>
          <w:p>
            <w:pPr>
              <w:pStyle w:val="Normal"/>
              <w:spacing w:before="0" w:after="20"/>
              <w:jc w:val="both"/>
              <w:rPr/>
            </w:pPr>
            <w:r>
              <w:rPr>
                <w:rFonts w:eastAsia="Consolas" w:cs="Consolas" w:ascii="Consolas" w:hAnsi="Consolas"/>
                <w:color w:val="D4D4D4"/>
                <w:sz w:val="18"/>
                <w:szCs w:val="18"/>
              </w:rPr>
              <w:t>mkdir -p results/{figures,tables,models}</w:t>
            </w:r>
          </w:p>
        </w:tc>
      </w:tr>
    </w:tbl>
    <w:p>
      <w:pPr>
        <w:pStyle w:val="Normal"/>
        <w:spacing w:before="0" w:after="140"/>
        <w:jc w:val="both"/>
        <w:rPr/>
      </w:pPr>
      <w:r>
        <w:rPr/>
        <w:t>Step 1.2: Set Up the Python Environment (lightweight - no deep learning frameworks required)</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conda create -n brca_cnv python=3.10 -y</w:t>
            </w:r>
          </w:p>
          <w:p>
            <w:pPr>
              <w:pStyle w:val="Normal"/>
              <w:spacing w:before="0" w:after="20"/>
              <w:jc w:val="both"/>
              <w:rPr/>
            </w:pPr>
            <w:r>
              <w:rPr>
                <w:rFonts w:eastAsia="Consolas" w:cs="Consolas" w:ascii="Consolas" w:hAnsi="Consolas"/>
                <w:color w:val="D4D4D4"/>
                <w:sz w:val="18"/>
                <w:szCs w:val="18"/>
              </w:rPr>
              <w:t>conda activate brca_cnv</w:t>
            </w:r>
          </w:p>
          <w:p>
            <w:pPr>
              <w:pStyle w:val="Normal"/>
              <w:spacing w:before="0" w:after="20"/>
              <w:jc w:val="both"/>
              <w:rPr/>
            </w:pPr>
            <w:r>
              <w:rPr>
                <w:rFonts w:eastAsia="Consolas" w:cs="Consolas" w:ascii="Consolas" w:hAnsi="Consolas"/>
                <w:color w:val="D4D4D4"/>
                <w:sz w:val="18"/>
                <w:szCs w:val="18"/>
              </w:rPr>
              <w:t>pip install pandas numpy scipy scikit-learn matplotlib seaborn plotly pyarrow</w:t>
            </w:r>
          </w:p>
          <w:p>
            <w:pPr>
              <w:pStyle w:val="Normal"/>
              <w:spacing w:before="0" w:after="20"/>
              <w:jc w:val="both"/>
              <w:rPr/>
            </w:pPr>
            <w:r>
              <w:rPr>
                <w:rFonts w:eastAsia="Consolas" w:cs="Consolas" w:ascii="Consolas" w:hAnsi="Consolas"/>
                <w:color w:val="D4D4D4"/>
                <w:sz w:val="18"/>
                <w:szCs w:val="18"/>
              </w:rPr>
              <w:t>pip install xgboost lightgbm shap lifelines</w:t>
            </w:r>
          </w:p>
          <w:p>
            <w:pPr>
              <w:pStyle w:val="Normal"/>
              <w:spacing w:before="0" w:after="20"/>
              <w:jc w:val="both"/>
              <w:rPr/>
            </w:pPr>
            <w:r>
              <w:rPr>
                <w:rFonts w:eastAsia="Consolas" w:cs="Consolas" w:ascii="Consolas" w:hAnsi="Consolas"/>
                <w:color w:val="D4D4D4"/>
                <w:sz w:val="18"/>
                <w:szCs w:val="18"/>
              </w:rPr>
              <w:t>conda install -c bioconda bedtools samtools -y</w:t>
            </w:r>
          </w:p>
        </w:tc>
      </w:tr>
    </w:tbl>
    <w:p>
      <w:pPr>
        <w:pStyle w:val="Normal"/>
        <w:spacing w:before="0" w:after="140"/>
        <w:jc w:val="both"/>
        <w:rPr/>
      </w:pPr>
      <w:r>
        <w:rPr/>
        <w:t>Note what is deliberately absent from this list: PyTorch and TensorFlow. The required deep-learning comparator in Phase 3 is scikit-learn's MLPClassifier, already included above via scikit-learn - no extra, heavyweight install is needed for any student to reproduce every REQUIRED result.</w:t>
      </w:r>
    </w:p>
    <w:p>
      <w:pPr>
        <w:pStyle w:val="Normal"/>
        <w:spacing w:before="0" w:after="140"/>
        <w:jc w:val="both"/>
        <w:rPr/>
      </w:pPr>
      <w:r>
        <w:rPr/>
        <w:t>Step 1.3: Set Up the R Environment (Path B only)</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conda create -n brca_r -c conda-forge r-base=4.4.0 -y</w:t>
            </w:r>
          </w:p>
          <w:p>
            <w:pPr>
              <w:pStyle w:val="Normal"/>
              <w:spacing w:before="0" w:after="20"/>
              <w:jc w:val="both"/>
              <w:rPr/>
            </w:pPr>
            <w:r>
              <w:rPr>
                <w:rFonts w:eastAsia="Consolas" w:cs="Consolas" w:ascii="Consolas" w:hAnsi="Consolas"/>
                <w:color w:val="D4D4D4"/>
                <w:sz w:val="18"/>
                <w:szCs w:val="18"/>
              </w:rPr>
              <w:t>conda activate brca_r</w:t>
            </w:r>
          </w:p>
          <w:p>
            <w:pPr>
              <w:pStyle w:val="Normal"/>
              <w:spacing w:before="0" w:after="20"/>
              <w:jc w:val="both"/>
              <w:rPr/>
            </w:pPr>
            <w:r>
              <w:rPr>
                <w:rFonts w:eastAsia="Consolas" w:cs="Consolas" w:ascii="Consolas" w:hAnsi="Consolas"/>
                <w:color w:val="D4D4D4"/>
                <w:sz w:val="18"/>
                <w:szCs w:val="18"/>
              </w:rPr>
              <w:t>conda install -c conda-forge r-xml2 r-curl r-openssl r-jsonlite r-httr libxml2 -y</w:t>
            </w:r>
          </w:p>
          <w:p>
            <w:pPr>
              <w:pStyle w:val="Normal"/>
              <w:spacing w:before="0" w:after="20"/>
              <w:jc w:val="both"/>
              <w:rPr/>
            </w:pPr>
            <w:r>
              <w:rPr>
                <w:rFonts w:eastAsia="Consolas" w:cs="Consolas" w:ascii="Consolas" w:hAnsi="Consolas"/>
                <w:color w:val="D4D4D4"/>
                <w:sz w:val="18"/>
                <w:szCs w:val="18"/>
              </w:rPr>
              <w:t># In R:</w:t>
            </w:r>
          </w:p>
          <w:p>
            <w:pPr>
              <w:pStyle w:val="Normal"/>
              <w:spacing w:before="0" w:after="20"/>
              <w:jc w:val="both"/>
              <w:rPr/>
            </w:pPr>
            <w:r>
              <w:rPr>
                <w:rFonts w:eastAsia="Consolas" w:cs="Consolas" w:ascii="Consolas" w:hAnsi="Consolas"/>
                <w:color w:val="D4D4D4"/>
                <w:sz w:val="18"/>
                <w:szCs w:val="18"/>
              </w:rPr>
              <w:t>if (!require('BiocManager', quietly = TRUE)) install.packages('BiocManager')</w:t>
            </w:r>
          </w:p>
          <w:p>
            <w:pPr>
              <w:pStyle w:val="Normal"/>
              <w:spacing w:before="0" w:after="20"/>
              <w:jc w:val="both"/>
              <w:rPr/>
            </w:pPr>
            <w:r>
              <w:rPr>
                <w:rFonts w:eastAsia="Consolas" w:cs="Consolas" w:ascii="Consolas" w:hAnsi="Consolas"/>
                <w:color w:val="D4D4D4"/>
                <w:sz w:val="18"/>
                <w:szCs w:val="18"/>
              </w:rPr>
              <w:t>BiocManager::install(c('TCGAbiolinks','SummarizedExperiment','DESeq2','biomaRt','maftools'))</w:t>
            </w:r>
          </w:p>
        </w:tc>
      </w:tr>
    </w:tbl>
    <w:p>
      <w:pPr>
        <w:pStyle w:val="Normal"/>
        <w:spacing w:before="0" w:after="140"/>
        <w:jc w:val="both"/>
        <w:rPr/>
      </w:pPr>
      <w:r>
        <w:rPr/>
        <w:t>Step 1.4: Get the Data — Path A (default) or Path B (optional)</w:t>
      </w:r>
    </w:p>
    <w:p>
      <w:pPr>
        <w:pStyle w:val="Normal"/>
        <w:spacing w:before="0" w:after="140"/>
        <w:jc w:val="both"/>
        <w:rPr/>
      </w:pPr>
      <w:r>
        <w:rPr/>
        <w:t xml:space="preserve">Path A, students run the Section 3.4 commands and skip straight to </w:t>
      </w:r>
      <w:r>
        <w:rPr/>
        <w:t>step</w:t>
      </w:r>
      <w:r>
        <w:rPr/>
        <w:t xml:space="preserve"> 2 preprocessing scripts below (the staged package is already integrated, so Steps 2.1–3.1 are pre-run for you - you'll re-run the QC report generation step so you see the same diagnostics everyone else does). Path B students: complete Section 3.5 first.</w:t>
      </w:r>
    </w:p>
    <w:p>
      <w:pPr>
        <w:pStyle w:val="Heading3"/>
        <w:spacing w:before="200" w:after="100"/>
        <w:jc w:val="both"/>
        <w:rPr/>
      </w:pPr>
      <w:r>
        <w:rPr/>
        <w:t>M</w:t>
      </w:r>
      <w:r>
        <w:rPr/>
        <w:t>2: Data Preprocessing</w:t>
      </w:r>
    </w:p>
    <w:p>
      <w:pPr>
        <w:pStyle w:val="ListParagraph"/>
        <w:numPr>
          <w:ilvl w:val="0"/>
          <w:numId w:val="1"/>
        </w:numPr>
        <w:spacing w:before="0" w:after="80"/>
        <w:jc w:val="both"/>
        <w:rPr/>
      </w:pPr>
      <w:r>
        <w:rPr/>
        <w:t>src/preprocess_cnv.py — process copy number variation data</w:t>
      </w:r>
    </w:p>
    <w:p>
      <w:pPr>
        <w:pStyle w:val="ListParagraph"/>
        <w:numPr>
          <w:ilvl w:val="0"/>
          <w:numId w:val="1"/>
        </w:numPr>
        <w:spacing w:before="0" w:after="80"/>
        <w:jc w:val="both"/>
        <w:rPr/>
      </w:pPr>
      <w:r>
        <w:rPr/>
        <w:t>src/preprocess_rnaseq.py — normalize gene expression (log2 CPM), cast to float32</w:t>
      </w:r>
    </w:p>
    <w:p>
      <w:pPr>
        <w:pStyle w:val="ListParagraph"/>
        <w:numPr>
          <w:ilvl w:val="0"/>
          <w:numId w:val="1"/>
        </w:numPr>
        <w:spacing w:before="0" w:after="80"/>
        <w:jc w:val="both"/>
        <w:rPr/>
      </w:pPr>
      <w:r>
        <w:rPr/>
        <w:t>src/preprocess_clinical.py — extract metastasis status, ER/PR/HER2, PAM50, and other clinical features</w:t>
      </w:r>
    </w:p>
    <w:p>
      <w:pPr>
        <w:pStyle w:val="ListParagraph"/>
        <w:numPr>
          <w:ilvl w:val="0"/>
          <w:numId w:val="1"/>
        </w:numPr>
        <w:spacing w:before="0" w:after="80"/>
        <w:jc w:val="both"/>
        <w:rPr/>
      </w:pPr>
      <w:r>
        <w:rPr/>
        <w:t>src/preprocess_proteomics.py — normalize RPPA protein expression</w:t>
      </w:r>
    </w:p>
    <w:p>
      <w:pPr>
        <w:pStyle w:val="Heading3"/>
        <w:spacing w:before="200" w:after="100"/>
        <w:jc w:val="both"/>
        <w:rPr/>
      </w:pPr>
      <w:r>
        <w:rPr/>
        <w:t>M</w:t>
      </w:r>
      <w:r>
        <w:rPr/>
        <w:t>3: Data Integration &amp; Quality Control</w:t>
      </w:r>
    </w:p>
    <w:p>
      <w:pPr>
        <w:pStyle w:val="ListParagraph"/>
        <w:numPr>
          <w:ilvl w:val="0"/>
          <w:numId w:val="1"/>
        </w:numPr>
        <w:spacing w:before="0" w:after="80"/>
        <w:jc w:val="both"/>
        <w:rPr/>
      </w:pPr>
      <w:r>
        <w:rPr/>
        <w:t>src/integrate_data.py - merge all data types by patient ID into one Parquet file</w:t>
      </w:r>
    </w:p>
    <w:p>
      <w:pPr>
        <w:pStyle w:val="ListParagraph"/>
        <w:numPr>
          <w:ilvl w:val="0"/>
          <w:numId w:val="1"/>
        </w:numPr>
        <w:spacing w:before="0" w:after="80"/>
        <w:jc w:val="both"/>
        <w:rPr/>
      </w:pPr>
      <w:r>
        <w:rPr/>
        <w:t>QC checks: missingness by data type, subtype-balance check across ER/PR/HER2/TNBC groups, outlier screening</w:t>
      </w:r>
    </w:p>
    <w:tbl>
      <w:tblPr>
        <w:tblW w:w="9360" w:type="dxa"/>
        <w:jc w:val="left"/>
        <w:tblInd w:w="0" w:type="dxa"/>
        <w:tblLayout w:type="fixed"/>
        <w:tblCellMar>
          <w:top w:w="120" w:type="dxa"/>
          <w:left w:w="200" w:type="dxa"/>
          <w:bottom w:w="120" w:type="dxa"/>
          <w:right w:w="200" w:type="dxa"/>
        </w:tblCellMar>
      </w:tblPr>
      <w:tblGrid>
        <w:gridCol w:w="936"/>
        <w:gridCol w:w="3276"/>
        <w:gridCol w:w="2340"/>
        <w:gridCol w:w="2807"/>
      </w:tblGrid>
      <w:tr>
        <w:trPr/>
        <w:tc>
          <w:tcPr>
            <w:tcW w:w="9359" w:type="dxa"/>
            <w:gridSpan w:val="4"/>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chmod +x run_preprocessing_pipeline.sh</w:t>
            </w:r>
          </w:p>
          <w:p>
            <w:pPr>
              <w:pStyle w:val="Normal"/>
              <w:spacing w:before="0" w:after="20"/>
              <w:jc w:val="both"/>
              <w:rPr/>
            </w:pPr>
            <w:r>
              <w:rPr>
                <w:rFonts w:eastAsia="Consolas" w:cs="Consolas" w:ascii="Consolas" w:hAnsi="Consolas"/>
                <w:color w:val="D4D4D4"/>
                <w:sz w:val="18"/>
                <w:szCs w:val="18"/>
              </w:rPr>
              <w:t>./run_preprocessing_pipeline.sh</w:t>
            </w:r>
          </w:p>
        </w:tc>
      </w:tr>
      <w:tr>
        <w:trPr/>
        <w:tc>
          <w:tcPr>
            <w:tcW w:w="936" w:type="dxa"/>
            <w:tcBorders>
              <w:top w:val="single" w:sz="4" w:space="0" w:color="CCCCCC"/>
              <w:left w:val="single" w:sz="4" w:space="0" w:color="CCCCCC"/>
              <w:bottom w:val="single" w:sz="4" w:space="0" w:color="CCCCCC"/>
              <w:right w:val="single" w:sz="4" w:space="0" w:color="CCCCCC"/>
            </w:tcBorders>
            <w:shd w:color="auto" w:fill="2F5496" w:val="clear"/>
            <w:tcMar>
              <w:top w:w="60" w:type="dxa"/>
              <w:left w:w="100" w:type="dxa"/>
              <w:bottom w:w="60" w:type="dxa"/>
              <w:right w:w="100" w:type="dxa"/>
            </w:tcMar>
          </w:tcPr>
          <w:p>
            <w:pPr>
              <w:pStyle w:val="Normal"/>
              <w:jc w:val="both"/>
              <w:rPr/>
            </w:pPr>
            <w:r>
              <w:rPr>
                <w:b/>
                <w:bCs/>
                <w:color w:val="FFFFFF"/>
                <w:sz w:val="20"/>
                <w:szCs w:val="20"/>
              </w:rPr>
              <w:t>Step</w:t>
            </w:r>
          </w:p>
        </w:tc>
        <w:tc>
          <w:tcPr>
            <w:tcW w:w="3276" w:type="dxa"/>
            <w:tcBorders>
              <w:top w:val="single" w:sz="4" w:space="0" w:color="CCCCCC"/>
              <w:left w:val="single" w:sz="4" w:space="0" w:color="CCCCCC"/>
              <w:bottom w:val="single" w:sz="4" w:space="0" w:color="CCCCCC"/>
              <w:right w:val="single" w:sz="4" w:space="0" w:color="CCCCCC"/>
            </w:tcBorders>
            <w:shd w:color="auto" w:fill="2F5496" w:val="clear"/>
            <w:tcMar>
              <w:top w:w="60" w:type="dxa"/>
              <w:left w:w="100" w:type="dxa"/>
              <w:bottom w:w="60" w:type="dxa"/>
              <w:right w:w="100" w:type="dxa"/>
            </w:tcMar>
          </w:tcPr>
          <w:p>
            <w:pPr>
              <w:pStyle w:val="Normal"/>
              <w:jc w:val="both"/>
              <w:rPr/>
            </w:pPr>
            <w:r>
              <w:rPr>
                <w:b/>
                <w:bCs/>
                <w:color w:val="FFFFFF"/>
                <w:sz w:val="20"/>
                <w:szCs w:val="20"/>
              </w:rPr>
              <w:t>Script</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Mar>
              <w:top w:w="60" w:type="dxa"/>
              <w:left w:w="100" w:type="dxa"/>
              <w:bottom w:w="60" w:type="dxa"/>
              <w:right w:w="100" w:type="dxa"/>
            </w:tcMar>
          </w:tcPr>
          <w:p>
            <w:pPr>
              <w:pStyle w:val="Normal"/>
              <w:jc w:val="both"/>
              <w:rPr/>
            </w:pPr>
            <w:r>
              <w:rPr>
                <w:b/>
                <w:bCs/>
                <w:color w:val="FFFFFF"/>
                <w:sz w:val="20"/>
                <w:szCs w:val="20"/>
              </w:rPr>
              <w:t>Duration (Path A)</w:t>
            </w:r>
          </w:p>
        </w:tc>
        <w:tc>
          <w:tcPr>
            <w:tcW w:w="2807" w:type="dxa"/>
            <w:tcBorders>
              <w:top w:val="single" w:sz="4" w:space="0" w:color="CCCCCC"/>
              <w:left w:val="single" w:sz="4" w:space="0" w:color="CCCCCC"/>
              <w:bottom w:val="single" w:sz="4" w:space="0" w:color="CCCCCC"/>
              <w:right w:val="single" w:sz="4" w:space="0" w:color="CCCCCC"/>
            </w:tcBorders>
            <w:shd w:color="auto" w:fill="2F5496" w:val="clear"/>
            <w:tcMar>
              <w:top w:w="60" w:type="dxa"/>
              <w:left w:w="100" w:type="dxa"/>
              <w:bottom w:w="60" w:type="dxa"/>
              <w:right w:w="100" w:type="dxa"/>
            </w:tcMar>
          </w:tcPr>
          <w:p>
            <w:pPr>
              <w:pStyle w:val="Normal"/>
              <w:jc w:val="both"/>
              <w:rPr/>
            </w:pPr>
            <w:r>
              <w:rPr>
                <w:b/>
                <w:bCs/>
                <w:color w:val="FFFFFF"/>
                <w:sz w:val="20"/>
                <w:szCs w:val="20"/>
              </w:rPr>
              <w:t>Output</w:t>
            </w:r>
          </w:p>
        </w:tc>
      </w:tr>
      <w:tr>
        <w:trPr/>
        <w:tc>
          <w:tcPr>
            <w:tcW w:w="936"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1</w:t>
            </w:r>
          </w:p>
        </w:tc>
        <w:tc>
          <w:tcPr>
            <w:tcW w:w="3276"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QC report on staged package</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1–2 min</w:t>
            </w:r>
          </w:p>
        </w:tc>
        <w:tc>
          <w:tcPr>
            <w:tcW w:w="2807"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QC summary + subtype balance table</w:t>
            </w:r>
          </w:p>
        </w:tc>
      </w:tr>
      <w:tr>
        <w:trPr/>
        <w:tc>
          <w:tcPr>
            <w:tcW w:w="936" w:type="dxa"/>
            <w:tcBorders>
              <w:top w:val="single" w:sz="4" w:space="0" w:color="CCCCCC"/>
              <w:left w:val="single" w:sz="4" w:space="0" w:color="CCCCCC"/>
              <w:bottom w:val="single" w:sz="4" w:space="0" w:color="CCCCCC"/>
              <w:right w:val="single" w:sz="4" w:space="0" w:color="CCCCCC"/>
            </w:tcBorders>
            <w:shd w:color="auto" w:fill="FFFFFF" w:val="clear"/>
            <w:tcMar>
              <w:top w:w="60" w:type="dxa"/>
              <w:left w:w="100" w:type="dxa"/>
              <w:bottom w:w="60" w:type="dxa"/>
              <w:right w:w="100" w:type="dxa"/>
            </w:tcMar>
          </w:tcPr>
          <w:p>
            <w:pPr>
              <w:pStyle w:val="Normal"/>
              <w:jc w:val="both"/>
              <w:rPr/>
            </w:pPr>
            <w:r>
              <w:rPr>
                <w:sz w:val="20"/>
                <w:szCs w:val="20"/>
              </w:rPr>
              <w:t>2</w:t>
            </w:r>
          </w:p>
        </w:tc>
        <w:tc>
          <w:tcPr>
            <w:tcW w:w="3276" w:type="dxa"/>
            <w:tcBorders>
              <w:top w:val="single" w:sz="4" w:space="0" w:color="CCCCCC"/>
              <w:left w:val="single" w:sz="4" w:space="0" w:color="CCCCCC"/>
              <w:bottom w:val="single" w:sz="4" w:space="0" w:color="CCCCCC"/>
              <w:right w:val="single" w:sz="4" w:space="0" w:color="CCCCCC"/>
            </w:tcBorders>
            <w:shd w:color="auto" w:fill="FFFFFF" w:val="clear"/>
            <w:tcMar>
              <w:top w:w="60" w:type="dxa"/>
              <w:left w:w="100" w:type="dxa"/>
              <w:bottom w:w="60" w:type="dxa"/>
              <w:right w:w="100" w:type="dxa"/>
            </w:tcMar>
          </w:tcPr>
          <w:p>
            <w:pPr>
              <w:pStyle w:val="Normal"/>
              <w:jc w:val="both"/>
              <w:rPr/>
            </w:pPr>
            <w:r>
              <w:rPr>
                <w:sz w:val="20"/>
                <w:szCs w:val="20"/>
              </w:rPr>
              <w:t>preprocess_clinical.py</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Mar>
              <w:top w:w="60" w:type="dxa"/>
              <w:left w:w="100" w:type="dxa"/>
              <w:bottom w:w="60" w:type="dxa"/>
              <w:right w:w="100" w:type="dxa"/>
            </w:tcMar>
          </w:tcPr>
          <w:p>
            <w:pPr>
              <w:pStyle w:val="Normal"/>
              <w:jc w:val="both"/>
              <w:rPr/>
            </w:pPr>
            <w:r>
              <w:rPr>
                <w:sz w:val="20"/>
                <w:szCs w:val="20"/>
              </w:rPr>
              <w:t>1–2 min</w:t>
            </w:r>
          </w:p>
        </w:tc>
        <w:tc>
          <w:tcPr>
            <w:tcW w:w="2807" w:type="dxa"/>
            <w:tcBorders>
              <w:top w:val="single" w:sz="4" w:space="0" w:color="CCCCCC"/>
              <w:left w:val="single" w:sz="4" w:space="0" w:color="CCCCCC"/>
              <w:bottom w:val="single" w:sz="4" w:space="0" w:color="CCCCCC"/>
              <w:right w:val="single" w:sz="4" w:space="0" w:color="CCCCCC"/>
            </w:tcBorders>
            <w:shd w:color="auto" w:fill="FFFFFF" w:val="clear"/>
            <w:tcMar>
              <w:top w:w="60" w:type="dxa"/>
              <w:left w:w="100" w:type="dxa"/>
              <w:bottom w:w="60" w:type="dxa"/>
              <w:right w:w="100" w:type="dxa"/>
            </w:tcMar>
          </w:tcPr>
          <w:p>
            <w:pPr>
              <w:pStyle w:val="Normal"/>
              <w:jc w:val="both"/>
              <w:rPr/>
            </w:pPr>
            <w:r>
              <w:rPr>
                <w:sz w:val="20"/>
                <w:szCs w:val="20"/>
              </w:rPr>
              <w:t>Clinical/subtype features + labels</w:t>
            </w:r>
          </w:p>
        </w:tc>
      </w:tr>
      <w:tr>
        <w:trPr/>
        <w:tc>
          <w:tcPr>
            <w:tcW w:w="936"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3</w:t>
            </w:r>
          </w:p>
        </w:tc>
        <w:tc>
          <w:tcPr>
            <w:tcW w:w="3276"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integrate_data.py (verify only)</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1–2 min</w:t>
            </w:r>
          </w:p>
        </w:tc>
        <w:tc>
          <w:tcPr>
            <w:tcW w:w="2807" w:type="dxa"/>
            <w:tcBorders>
              <w:top w:val="single" w:sz="4" w:space="0" w:color="CCCCCC"/>
              <w:left w:val="single" w:sz="4" w:space="0" w:color="CCCCCC"/>
              <w:bottom w:val="single" w:sz="4" w:space="0" w:color="CCCCCC"/>
              <w:right w:val="single" w:sz="4" w:space="0" w:color="CCCCCC"/>
            </w:tcBorders>
            <w:shd w:color="auto" w:fill="F2F2F2" w:val="clear"/>
            <w:tcMar>
              <w:top w:w="60" w:type="dxa"/>
              <w:left w:w="100" w:type="dxa"/>
              <w:bottom w:w="60" w:type="dxa"/>
              <w:right w:w="100" w:type="dxa"/>
            </w:tcMar>
          </w:tcPr>
          <w:p>
            <w:pPr>
              <w:pStyle w:val="Normal"/>
              <w:jc w:val="both"/>
              <w:rPr/>
            </w:pPr>
            <w:r>
              <w:rPr>
                <w:sz w:val="20"/>
                <w:szCs w:val="20"/>
              </w:rPr>
              <w:t>Confirmed integrated dataset</w:t>
            </w:r>
          </w:p>
        </w:tc>
      </w:tr>
      <w:tr>
        <w:trPr/>
        <w:tc>
          <w:tcPr>
            <w:tcW w:w="9359" w:type="dxa"/>
            <w:gridSpan w:val="4"/>
            <w:tcBorders>
              <w:top w:val="single" w:sz="4" w:space="0" w:color="CCCCCC"/>
              <w:left w:val="single" w:sz="4" w:space="0" w:color="CCCCCC"/>
              <w:bottom w:val="single" w:sz="4" w:space="0" w:color="CCCCCC"/>
              <w:right w:val="single" w:sz="4" w:space="0" w:color="CCCCCC"/>
            </w:tcBorders>
            <w:shd w:color="auto" w:fill="DDEBF7" w:val="clear"/>
            <w:tcMar>
              <w:top w:w="140" w:type="dxa"/>
              <w:bottom w:w="140" w:type="dxa"/>
            </w:tcMar>
          </w:tcPr>
          <w:p>
            <w:pPr>
              <w:pStyle w:val="Normal"/>
              <w:spacing w:before="0" w:after="80"/>
              <w:jc w:val="both"/>
              <w:rPr/>
            </w:pPr>
            <w:r>
              <w:rPr>
                <w:b/>
                <w:bCs/>
                <w:color w:val="1F4E78"/>
                <w:sz w:val="20"/>
                <w:szCs w:val="20"/>
              </w:rPr>
              <w:t>COMPUTE CALLOUT — 4GB RAM / CPU-ONLY TIER</w:t>
            </w:r>
          </w:p>
          <w:p>
            <w:pPr>
              <w:pStyle w:val="Normal"/>
              <w:spacing w:before="0" w:after="60"/>
              <w:jc w:val="both"/>
              <w:rPr/>
            </w:pPr>
            <w:r>
              <w:rPr>
                <w:sz w:val="20"/>
                <w:szCs w:val="20"/>
              </w:rPr>
              <w:t>Path A peak RAM: roughly 1–2GB — comfortably inside the 4GB minimum spec.</w:t>
            </w:r>
          </w:p>
          <w:p>
            <w:pPr>
              <w:pStyle w:val="Normal"/>
              <w:spacing w:before="0" w:after="60"/>
              <w:jc w:val="both"/>
              <w:rPr/>
            </w:pPr>
            <w:r>
              <w:rPr>
                <w:sz w:val="20"/>
                <w:szCs w:val="20"/>
              </w:rPr>
              <w:t>Path B peak RAM (raw, unfiltered multi-omics load before integration): can reach 4–6GB. Flagged as risky on the 4GB tier — Path B students should use dtype='float32', read_csv(..., chunksize=...) for the largest RNA-Seq files, and delete intermediate DataFrames (del df; gc.collect()) between steps.</w:t>
            </w:r>
          </w:p>
        </w:tc>
      </w:tr>
      <w:tr>
        <w:trPr/>
        <w:tc>
          <w:tcPr>
            <w:tcW w:w="9359" w:type="dxa"/>
            <w:gridSpan w:val="4"/>
            <w:tcBorders>
              <w:top w:val="single" w:sz="4" w:space="0" w:color="CCCCCC"/>
              <w:left w:val="single" w:sz="4" w:space="0" w:color="CCCCCC"/>
              <w:bottom w:val="single" w:sz="4" w:space="0" w:color="CCCCCC"/>
              <w:right w:val="single" w:sz="4" w:space="0" w:color="CCCCCC"/>
            </w:tcBorders>
            <w:shd w:color="auto" w:fill="FFF2CC" w:val="clear"/>
            <w:tcMar>
              <w:top w:w="140" w:type="dxa"/>
              <w:bottom w:w="140" w:type="dxa"/>
            </w:tcMar>
          </w:tcPr>
          <w:p>
            <w:pPr>
              <w:pStyle w:val="Normal"/>
              <w:spacing w:before="0" w:after="80"/>
              <w:jc w:val="both"/>
              <w:rPr/>
            </w:pPr>
            <w:r>
              <w:rPr>
                <w:b/>
                <w:bCs/>
                <w:color w:val="7F6000"/>
                <w:sz w:val="20"/>
                <w:szCs w:val="20"/>
              </w:rPr>
              <w:t>EXPLAINED IN SIMPLE TERMS</w:t>
            </w:r>
          </w:p>
          <w:p>
            <w:pPr>
              <w:pStyle w:val="Normal"/>
              <w:spacing w:before="0" w:after="60"/>
              <w:jc w:val="both"/>
              <w:rPr/>
            </w:pPr>
            <w:r>
              <w:rPr>
                <w:sz w:val="20"/>
                <w:szCs w:val="20"/>
              </w:rPr>
              <w:t>Think of this phase as gathering all the ingredients and prepping them for cooking. We're collecting patient data from a public cancer database (TCGA): DNA copy-number changes (CNVs), which genes are active (RNA-Seq), protein levels (proteomics), which type of breast cancer each patient has (ER/PR/HER2 status), and what happened to each patient (clinical outcomes). We then clean this data - removing errors, standardizing formats, combining everything into one organized dataset.</w:t>
            </w:r>
          </w:p>
          <w:p>
            <w:pPr>
              <w:pStyle w:val="Normal"/>
              <w:spacing w:before="0" w:after="60"/>
              <w:jc w:val="both"/>
              <w:rPr/>
            </w:pPr>
            <w:r>
              <w:rPr/>
            </w:r>
          </w:p>
          <w:p>
            <w:pPr>
              <w:pStyle w:val="Normal"/>
              <w:spacing w:before="0" w:after="60"/>
              <w:jc w:val="both"/>
              <w:rPr/>
            </w:pPr>
            <w:r>
              <w:rPr>
                <w:sz w:val="20"/>
                <w:szCs w:val="20"/>
              </w:rPr>
              <w:t>Why this matters: without clean, organized data, everything downstream is unreliable - like baking with spoiled ingredients. This phase sets the foundation for everything that follows.</w:t>
            </w:r>
          </w:p>
          <w:p>
            <w:pPr>
              <w:pStyle w:val="Normal"/>
              <w:spacing w:before="0" w:after="60"/>
              <w:jc w:val="both"/>
              <w:rPr/>
            </w:pPr>
            <w:r>
              <w:rPr/>
            </w:r>
          </w:p>
          <w:p>
            <w:pPr>
              <w:pStyle w:val="Normal"/>
              <w:spacing w:before="0" w:after="60"/>
              <w:jc w:val="both"/>
              <w:rPr/>
            </w:pPr>
            <w:r>
              <w:rPr>
                <w:sz w:val="20"/>
                <w:szCs w:val="20"/>
              </w:rPr>
              <w:t xml:space="preserve">What to expect: after </w:t>
            </w:r>
            <w:r>
              <w:rPr>
                <w:sz w:val="20"/>
                <w:szCs w:val="20"/>
              </w:rPr>
              <w:t>M</w:t>
            </w:r>
            <w:r>
              <w:rPr>
                <w:sz w:val="20"/>
                <w:szCs w:val="20"/>
              </w:rPr>
              <w:t>3 you'll have one integrated dataset covering roughly 1,000+ patients, with CNV, expression, protein, and subtype information all aligned by patient ID — and, because you used the staged package, you'll have gotten there in a few minutes rather than an hour.</w:t>
            </w:r>
          </w:p>
        </w:tc>
      </w:tr>
    </w:tbl>
    <w:p>
      <w:pPr>
        <w:pStyle w:val="Heading2"/>
        <w:spacing w:before="280" w:after="140"/>
        <w:jc w:val="both"/>
        <w:rPr/>
      </w:pPr>
      <w:r>
        <w:rPr/>
        <w:t>4.3 PHASE 2: CNV Discovery, Subtype-Stratified Analysis &amp; Feature Selection</w:t>
      </w:r>
    </w:p>
    <w:p>
      <w:pPr>
        <w:pStyle w:val="Heading3"/>
        <w:spacing w:before="200" w:after="100"/>
        <w:jc w:val="both"/>
        <w:rPr/>
      </w:pPr>
      <w:r>
        <w:rPr/>
        <w:t>Phase 2 Objectives</w:t>
      </w:r>
    </w:p>
    <w:p>
      <w:pPr>
        <w:pStyle w:val="ListParagraph"/>
        <w:numPr>
          <w:ilvl w:val="0"/>
          <w:numId w:val="1"/>
        </w:numPr>
        <w:spacing w:before="0" w:after="80"/>
        <w:jc w:val="both"/>
        <w:rPr/>
      </w:pPr>
      <w:r>
        <w:rPr/>
        <w:t>Identify metastasis-associated CNVs across the full cohort</w:t>
      </w:r>
    </w:p>
    <w:p>
      <w:pPr>
        <w:pStyle w:val="ListParagraph"/>
        <w:numPr>
          <w:ilvl w:val="0"/>
          <w:numId w:val="1"/>
        </w:numPr>
        <w:spacing w:before="0" w:after="80"/>
        <w:jc w:val="both"/>
        <w:rPr/>
      </w:pPr>
      <w:r>
        <w:rPr/>
        <w:t>Repeat the differential CNV analysis within each subtype (ER+, ER−, HER2+, TNBC) to surface subtype-specific signatures</w:t>
      </w:r>
    </w:p>
    <w:p>
      <w:pPr>
        <w:pStyle w:val="ListParagraph"/>
        <w:numPr>
          <w:ilvl w:val="0"/>
          <w:numId w:val="1"/>
        </w:numPr>
        <w:spacing w:before="0" w:after="80"/>
        <w:jc w:val="both"/>
        <w:rPr/>
      </w:pPr>
      <w:r>
        <w:rPr/>
        <w:t>CNV–gene expression correlation to check biological plausibility of candidate regions</w:t>
      </w:r>
    </w:p>
    <w:p>
      <w:pPr>
        <w:pStyle w:val="ListParagraph"/>
        <w:numPr>
          <w:ilvl w:val="0"/>
          <w:numId w:val="1"/>
        </w:numPr>
        <w:spacing w:before="0" w:after="80"/>
        <w:jc w:val="both"/>
        <w:rPr/>
      </w:pPr>
      <w:r>
        <w:rPr/>
        <w:t>Feature selection (mRMR, LASSO, Random Forest importance) down to roughly 200–500 features</w:t>
      </w:r>
    </w:p>
    <w:p>
      <w:pPr>
        <w:pStyle w:val="ListParagraph"/>
        <w:numPr>
          <w:ilvl w:val="0"/>
          <w:numId w:val="1"/>
        </w:numPr>
        <w:spacing w:before="0" w:after="80"/>
        <w:jc w:val="both"/>
        <w:rPr/>
      </w:pPr>
      <w:r>
        <w:rPr/>
        <w:t>Publication-quality visualizations (CNV frequency plots, subtype comparison heatmaps)</w:t>
      </w:r>
    </w:p>
    <w:p>
      <w:pPr>
        <w:pStyle w:val="Heading3"/>
        <w:spacing w:before="200" w:after="100"/>
        <w:jc w:val="both"/>
        <w:rPr/>
      </w:pPr>
      <w:r>
        <w:rPr/>
        <w:t>Key Scripts</w:t>
      </w:r>
    </w:p>
    <w:p>
      <w:pPr>
        <w:pStyle w:val="ListParagraph"/>
        <w:numPr>
          <w:ilvl w:val="0"/>
          <w:numId w:val="1"/>
        </w:numPr>
        <w:spacing w:before="0" w:after="80"/>
        <w:jc w:val="both"/>
        <w:rPr/>
      </w:pPr>
      <w:r>
        <w:rPr/>
        <w:t>src/phase2_cnv_analysis.py - CNV frequency &amp; differential analysis</w:t>
      </w:r>
    </w:p>
    <w:p>
      <w:pPr>
        <w:pStyle w:val="ListParagraph"/>
        <w:numPr>
          <w:ilvl w:val="0"/>
          <w:numId w:val="1"/>
        </w:numPr>
        <w:spacing w:before="0" w:after="80"/>
        <w:jc w:val="both"/>
        <w:rPr/>
      </w:pPr>
      <w:r>
        <w:rPr/>
        <w:t>src/phase2_subtype_stratified_analysis.py - per-subtype differential CNV analysis (ER/PR/HER2/TNBC)</w:t>
      </w:r>
    </w:p>
    <w:p>
      <w:pPr>
        <w:pStyle w:val="ListParagraph"/>
        <w:numPr>
          <w:ilvl w:val="0"/>
          <w:numId w:val="1"/>
        </w:numPr>
        <w:spacing w:before="0" w:after="80"/>
        <w:jc w:val="both"/>
        <w:rPr/>
      </w:pPr>
      <w:r>
        <w:rPr/>
        <w:t>src/phase2_cnv_gene_correlation.py - CNV–gene expression correlation</w:t>
      </w:r>
    </w:p>
    <w:p>
      <w:pPr>
        <w:pStyle w:val="ListParagraph"/>
        <w:numPr>
          <w:ilvl w:val="0"/>
          <w:numId w:val="1"/>
        </w:numPr>
        <w:spacing w:before="0" w:after="80"/>
        <w:jc w:val="both"/>
        <w:rPr/>
      </w:pPr>
      <w:r>
        <w:rPr/>
        <w:t>src/phase2_feature_selection.py - feature selection using mRMR, LASSO, RF</w:t>
      </w:r>
    </w:p>
    <w:p>
      <w:pPr>
        <w:pStyle w:val="ListParagraph"/>
        <w:numPr>
          <w:ilvl w:val="0"/>
          <w:numId w:val="1"/>
        </w:numPr>
        <w:spacing w:before="0" w:after="80"/>
        <w:jc w:val="both"/>
        <w:rPr/>
      </w:pPr>
      <w:r>
        <w:rPr/>
        <w:t>src/run_phase2_complete.py - master script to run all Phase 2 analyses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conda activate brca_cnv</w:t>
            </w:r>
          </w:p>
          <w:p>
            <w:pPr>
              <w:pStyle w:val="Normal"/>
              <w:spacing w:before="0" w:after="20"/>
              <w:jc w:val="both"/>
              <w:rPr/>
            </w:pPr>
            <w:r>
              <w:rPr>
                <w:rFonts w:eastAsia="Consolas" w:cs="Consolas" w:ascii="Consolas" w:hAnsi="Consolas"/>
                <w:color w:val="D4D4D4"/>
                <w:sz w:val="18"/>
                <w:szCs w:val="18"/>
              </w:rPr>
              <w:t>cd brca_metastasis_project/</w:t>
            </w:r>
          </w:p>
          <w:p>
            <w:pPr>
              <w:pStyle w:val="Normal"/>
              <w:spacing w:before="0" w:after="20"/>
              <w:jc w:val="both"/>
              <w:rPr/>
            </w:pPr>
            <w:r>
              <w:rPr>
                <w:rFonts w:eastAsia="Consolas" w:cs="Consolas" w:ascii="Consolas" w:hAnsi="Consolas"/>
                <w:color w:val="D4D4D4"/>
                <w:sz w:val="18"/>
                <w:szCs w:val="18"/>
              </w:rPr>
              <w:t>python src/run_phase2_complete.py</w:t>
            </w:r>
          </w:p>
        </w:tc>
      </w:tr>
      <w:tr>
        <w:trPr/>
        <w:tc>
          <w:tcPr>
            <w:tcW w:w="9360" w:type="dxa"/>
            <w:tcBorders>
              <w:top w:val="single" w:sz="4" w:space="0" w:color="CCCCCC"/>
              <w:left w:val="single" w:sz="4" w:space="0" w:color="CCCCCC"/>
              <w:bottom w:val="single" w:sz="4" w:space="0" w:color="CCCCCC"/>
              <w:right w:val="single" w:sz="4" w:space="0" w:color="CCCCCC"/>
            </w:tcBorders>
            <w:shd w:color="auto" w:fill="DDEBF7" w:val="clear"/>
            <w:tcMar>
              <w:top w:w="140" w:type="dxa"/>
              <w:bottom w:w="140" w:type="dxa"/>
            </w:tcMar>
          </w:tcPr>
          <w:p>
            <w:pPr>
              <w:pStyle w:val="Normal"/>
              <w:spacing w:before="0" w:after="80"/>
              <w:jc w:val="both"/>
              <w:rPr/>
            </w:pPr>
            <w:r>
              <w:rPr>
                <w:b/>
                <w:bCs/>
                <w:color w:val="1F4E78"/>
                <w:sz w:val="20"/>
                <w:szCs w:val="20"/>
              </w:rPr>
              <w:t>COMPUTE CALLOUT — 4GB RAM / CPU-ONLY TIER</w:t>
            </w:r>
          </w:p>
          <w:p>
            <w:pPr>
              <w:pStyle w:val="Normal"/>
              <w:spacing w:before="0" w:after="60"/>
              <w:jc w:val="both"/>
              <w:rPr/>
            </w:pPr>
            <w:r>
              <w:rPr>
                <w:sz w:val="20"/>
                <w:szCs w:val="20"/>
              </w:rPr>
              <w:t>This phase is the single biggest compute lever in the whole pipeline. Everything in Phase 3 scales with how many features survive here - end Phase 2 with a few hundred features, not tens of thousands, and Phase 3 will run comfortably on 4GB RAM without any further tuning.</w:t>
            </w:r>
          </w:p>
          <w:p>
            <w:pPr>
              <w:pStyle w:val="Normal"/>
              <w:spacing w:before="0" w:after="60"/>
              <w:jc w:val="both"/>
              <w:rPr/>
            </w:pPr>
            <w:r>
              <w:rPr>
                <w:sz w:val="20"/>
                <w:szCs w:val="20"/>
              </w:rPr>
              <w:t xml:space="preserve">phase2_feature_selection.py enforces a hard cap (default: top 500 features by combined mRMR/LASSO/RF rank) before writing the Phase 3 input file - this cap should not be removed on the </w:t>
            </w:r>
            <w:r>
              <w:rPr>
                <w:sz w:val="20"/>
                <w:szCs w:val="20"/>
              </w:rPr>
              <w:t xml:space="preserve">4GB </w:t>
            </w:r>
            <w:r>
              <w:rPr>
                <w:sz w:val="20"/>
                <w:szCs w:val="20"/>
              </w:rPr>
              <w:t>track.</w:t>
            </w:r>
          </w:p>
        </w:tc>
      </w:tr>
      <w:tr>
        <w:trPr/>
        <w:tc>
          <w:tcPr>
            <w:tcW w:w="9360" w:type="dxa"/>
            <w:tcBorders>
              <w:top w:val="single" w:sz="4" w:space="0" w:color="CCCCCC"/>
              <w:left w:val="single" w:sz="4" w:space="0" w:color="CCCCCC"/>
              <w:bottom w:val="single" w:sz="4" w:space="0" w:color="CCCCCC"/>
              <w:right w:val="single" w:sz="4" w:space="0" w:color="CCCCCC"/>
            </w:tcBorders>
            <w:shd w:color="auto" w:fill="FFF2CC" w:val="clear"/>
            <w:tcMar>
              <w:top w:w="140" w:type="dxa"/>
              <w:bottom w:w="140" w:type="dxa"/>
            </w:tcMar>
          </w:tcPr>
          <w:p>
            <w:pPr>
              <w:pStyle w:val="Normal"/>
              <w:spacing w:before="0" w:after="80"/>
              <w:jc w:val="both"/>
              <w:rPr/>
            </w:pPr>
            <w:r>
              <w:rPr>
                <w:b/>
                <w:bCs/>
                <w:color w:val="7F6000"/>
                <w:sz w:val="20"/>
                <w:szCs w:val="20"/>
              </w:rPr>
              <w:t>EXPLAINED IN SIMPLE TERMS</w:t>
            </w:r>
          </w:p>
          <w:p>
            <w:pPr>
              <w:pStyle w:val="Normal"/>
              <w:spacing w:before="0" w:after="60"/>
              <w:jc w:val="both"/>
              <w:rPr/>
            </w:pPr>
            <w:r>
              <w:rPr>
                <w:sz w:val="20"/>
                <w:szCs w:val="20"/>
              </w:rPr>
              <w:t>This is the detective-work phase. We search the DNA data for patterns that separate patients whose cancer spread from those whose didn't - and, new for this project, we check whether those patterns look different depending on the type of breast cancer (ER+/ER−/HER2+/TNBC), since these subtypes are known to behave differently in the clinic. We also check whether flagged DNA regions actually affect gene activity, which would suggest they're biologically meaningful rather than statistical noise.</w:t>
            </w:r>
          </w:p>
          <w:p>
            <w:pPr>
              <w:pStyle w:val="Normal"/>
              <w:spacing w:before="0" w:after="60"/>
              <w:jc w:val="both"/>
              <w:rPr/>
            </w:pPr>
            <w:r>
              <w:rPr/>
            </w:r>
          </w:p>
          <w:p>
            <w:pPr>
              <w:pStyle w:val="Normal"/>
              <w:spacing w:before="0" w:after="60"/>
              <w:jc w:val="both"/>
              <w:rPr/>
            </w:pPr>
            <w:r>
              <w:rPr>
                <w:sz w:val="20"/>
                <w:szCs w:val="20"/>
              </w:rPr>
              <w:t>Why this matters: understanding which genetic changes are associated with spreading - and whether that differs by subtype - helps identify biomarkers and treatment targets tailored to specific patient groups.</w:t>
            </w:r>
          </w:p>
          <w:p>
            <w:pPr>
              <w:pStyle w:val="Normal"/>
              <w:spacing w:before="0" w:after="60"/>
              <w:jc w:val="both"/>
              <w:rPr/>
            </w:pPr>
            <w:r>
              <w:rPr/>
            </w:r>
          </w:p>
          <w:p>
            <w:pPr>
              <w:pStyle w:val="Normal"/>
              <w:spacing w:before="0" w:after="60"/>
              <w:jc w:val="both"/>
              <w:rPr/>
            </w:pPr>
            <w:r>
              <w:rPr>
                <w:sz w:val="20"/>
                <w:szCs w:val="20"/>
              </w:rPr>
              <w:t>What to expect: 20–50 metastasis-associated CNV regions with statistical support, a comparison of which of those hold up (or change) within each subtype, and a short, prioritized feature list ready for modeling.</w:t>
            </w:r>
          </w:p>
        </w:tc>
      </w:tr>
    </w:tbl>
    <w:p>
      <w:pPr>
        <w:pStyle w:val="Heading2"/>
        <w:spacing w:before="280" w:after="140"/>
        <w:jc w:val="both"/>
        <w:rPr/>
      </w:pPr>
      <w:r>
        <w:rPr/>
        <w:t>4.4 PHASE 3: Machine Learning &amp; Temporal Modeling</w:t>
      </w:r>
    </w:p>
    <w:p>
      <w:pPr>
        <w:pStyle w:val="Heading3"/>
        <w:spacing w:before="200" w:after="100"/>
        <w:jc w:val="both"/>
        <w:rPr/>
      </w:pPr>
      <w:r>
        <w:rPr/>
        <w:t>Phase 3 Objectives</w:t>
      </w:r>
    </w:p>
    <w:p>
      <w:pPr>
        <w:pStyle w:val="ListParagraph"/>
        <w:numPr>
          <w:ilvl w:val="0"/>
          <w:numId w:val="1"/>
        </w:numPr>
        <w:spacing w:before="0" w:after="80"/>
        <w:jc w:val="both"/>
        <w:rPr/>
      </w:pPr>
      <w:r>
        <w:rPr/>
        <w:t>Train Random Forest, XGBoost, and LightGBM as the primary interpretable models</w:t>
      </w:r>
    </w:p>
    <w:p>
      <w:pPr>
        <w:pStyle w:val="ListParagraph"/>
        <w:numPr>
          <w:ilvl w:val="0"/>
          <w:numId w:val="1"/>
        </w:numPr>
        <w:spacing w:before="0" w:after="80"/>
        <w:jc w:val="both"/>
        <w:rPr/>
      </w:pPr>
      <w:r>
        <w:rPr/>
        <w:t>Train a small MLPClassifier (scikit-learn) as the required, CPU-portable 'deep learning' comparator</w:t>
      </w:r>
    </w:p>
    <w:p>
      <w:pPr>
        <w:pStyle w:val="ListParagraph"/>
        <w:numPr>
          <w:ilvl w:val="0"/>
          <w:numId w:val="1"/>
        </w:numPr>
        <w:spacing w:before="0" w:after="80"/>
        <w:jc w:val="both"/>
        <w:rPr/>
      </w:pPr>
      <w:r>
        <w:rPr/>
        <w:t>Model time-to-metastasis using survival analysis (Kaplan–Meier curves + Cox Proportional Hazards via the lifelines package) alongside binary classification</w:t>
      </w:r>
    </w:p>
    <w:p>
      <w:pPr>
        <w:pStyle w:val="ListParagraph"/>
        <w:numPr>
          <w:ilvl w:val="0"/>
          <w:numId w:val="1"/>
        </w:numPr>
        <w:spacing w:before="0" w:after="80"/>
        <w:jc w:val="both"/>
        <w:rPr/>
      </w:pPr>
      <w:r>
        <w:rPr/>
        <w:t>5-fold stratified cross-validation for all classifiers</w:t>
      </w:r>
    </w:p>
    <w:p>
      <w:pPr>
        <w:pStyle w:val="ListParagraph"/>
        <w:numPr>
          <w:ilvl w:val="0"/>
          <w:numId w:val="1"/>
        </w:numPr>
        <w:spacing w:before="0" w:after="80"/>
        <w:jc w:val="both"/>
        <w:rPr/>
      </w:pPr>
      <w:r>
        <w:rPr/>
        <w:t>SHAP (TreeExplainer) for model interpretability</w:t>
      </w:r>
    </w:p>
    <w:p>
      <w:pPr>
        <w:pStyle w:val="ListParagraph"/>
        <w:numPr>
          <w:ilvl w:val="0"/>
          <w:numId w:val="1"/>
        </w:numPr>
        <w:spacing w:before="0" w:after="80"/>
        <w:jc w:val="both"/>
        <w:rPr/>
      </w:pPr>
      <w:r>
        <w:rPr/>
        <w:t>Select the best-performing model for deployment</w:t>
      </w:r>
    </w:p>
    <w:p>
      <w:pPr>
        <w:pStyle w:val="Heading3"/>
        <w:spacing w:before="200" w:after="100"/>
        <w:jc w:val="both"/>
        <w:rPr/>
      </w:pPr>
      <w:r>
        <w:rPr/>
        <w:t>Hardware-Tiered Hyperparameter Grids</w:t>
      </w:r>
    </w:p>
    <w:tbl>
      <w:tblPr>
        <w:tblW w:w="9360" w:type="dxa"/>
        <w:jc w:val="left"/>
        <w:tblInd w:w="0" w:type="dxa"/>
        <w:tblLayout w:type="fixed"/>
        <w:tblCellMar>
          <w:top w:w="60" w:type="dxa"/>
          <w:left w:w="100" w:type="dxa"/>
          <w:bottom w:w="60" w:type="dxa"/>
          <w:right w:w="100" w:type="dxa"/>
        </w:tblCellMar>
      </w:tblPr>
      <w:tblGrid>
        <w:gridCol w:w="1497"/>
        <w:gridCol w:w="3931"/>
        <w:gridCol w:w="3932"/>
      </w:tblGrid>
      <w:tr>
        <w:trPr>
          <w:tblHeader w:val="true"/>
        </w:trPr>
        <w:tc>
          <w:tcPr>
            <w:tcW w:w="1497"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Model</w:t>
            </w:r>
          </w:p>
        </w:tc>
        <w:tc>
          <w:tcPr>
            <w:tcW w:w="3931"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Tier 1 - 4GB RAM / CPU (required, default)</w:t>
            </w:r>
          </w:p>
        </w:tc>
        <w:tc>
          <w:tcPr>
            <w:tcW w:w="3932"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Tier 2 - 16GB</w:t>
            </w:r>
            <w:r>
              <w:rPr>
                <w:b/>
                <w:bCs/>
                <w:color w:val="FFFFFF"/>
                <w:sz w:val="20"/>
                <w:szCs w:val="20"/>
              </w:rPr>
              <w:t>+</w:t>
            </w:r>
            <w:r>
              <w:rPr>
                <w:b/>
                <w:bCs/>
                <w:color w:val="FFFFFF"/>
                <w:sz w:val="20"/>
                <w:szCs w:val="20"/>
              </w:rPr>
              <w:t xml:space="preserve"> (optional, fuller sweep)</w:t>
            </w:r>
          </w:p>
        </w:tc>
      </w:tr>
      <w:tr>
        <w:trPr/>
        <w:tc>
          <w:tcPr>
            <w:tcW w:w="1497"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Random Forest</w:t>
            </w:r>
          </w:p>
        </w:tc>
        <w:tc>
          <w:tcPr>
            <w:tcW w:w="393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n_estimators: [100, 200]; max_depth: [5, 10]; n_jobs=2</w:t>
            </w:r>
          </w:p>
        </w:tc>
        <w:tc>
          <w:tcPr>
            <w:tcW w:w="3932"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n_estimators: [100, 300, 500]; max_depth: [5, 10, 20, None]; n_jobs=-1</w:t>
            </w:r>
          </w:p>
        </w:tc>
      </w:tr>
      <w:tr>
        <w:trPr/>
        <w:tc>
          <w:tcPr>
            <w:tcW w:w="1497"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XGBoost</w:t>
            </w:r>
          </w:p>
        </w:tc>
        <w:tc>
          <w:tcPr>
            <w:tcW w:w="393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tree_method='hist'; n_estimators: [100, 200]; max_depth: [3, 5]</w:t>
            </w:r>
          </w:p>
        </w:tc>
        <w:tc>
          <w:tcPr>
            <w:tcW w:w="3932"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tree_method='hist'; n_estimators up to 500; max_depth up to 8; wider learning-rate sweep</w:t>
            </w:r>
          </w:p>
        </w:tc>
      </w:tr>
      <w:tr>
        <w:trPr/>
        <w:tc>
          <w:tcPr>
            <w:tcW w:w="1497"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LightGBM</w:t>
            </w:r>
          </w:p>
        </w:tc>
        <w:tc>
          <w:tcPr>
            <w:tcW w:w="393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n_estimators: [100, 200]; num_leaves: [15, 31]</w:t>
            </w:r>
          </w:p>
        </w:tc>
        <w:tc>
          <w:tcPr>
            <w:tcW w:w="3932"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n_estimators up to 500; num_leaves up to 63; feature_fraction sweep</w:t>
            </w:r>
          </w:p>
        </w:tc>
      </w:tr>
      <w:tr>
        <w:trPr/>
        <w:tc>
          <w:tcPr>
            <w:tcW w:w="1497"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MLPClassifier</w:t>
            </w:r>
          </w:p>
        </w:tc>
        <w:tc>
          <w:tcPr>
            <w:tcW w:w="393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hidden_layer_sizes: (32,) or (32,16); early_stopping=True; max_iter=200</w:t>
            </w:r>
          </w:p>
        </w:tc>
        <w:tc>
          <w:tcPr>
            <w:tcW w:w="3932"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hidden_layer_sizes up to (64,32); broader alpha/learning-rate sweep</w:t>
            </w:r>
          </w:p>
        </w:tc>
      </w:tr>
    </w:tbl>
    <w:p>
      <w:pPr>
        <w:pStyle w:val="Normal"/>
        <w:spacing w:before="0" w:after="140"/>
        <w:jc w:val="both"/>
        <w:rPr/>
      </w:pPr>
      <w:r>
        <w:rPr/>
        <w:t xml:space="preserve">Every student runs Tier 1 by default. Tier 2 is offered as an optional 'if your laptop can take it' extension, and is what the </w:t>
      </w:r>
      <w:r>
        <w:rPr/>
        <w:t>builder machine</w:t>
      </w:r>
      <w:r>
        <w:rPr/>
        <w:t xml:space="preserve"> uses when producing the headline manuscript numbers - results should be checked for consistency between tiers as part of a brief robustness note in the manuscript.</w:t>
      </w:r>
    </w:p>
    <w:p>
      <w:pPr>
        <w:pStyle w:val="Heading3"/>
        <w:spacing w:before="200" w:after="100"/>
        <w:jc w:val="both"/>
        <w:rPr/>
      </w:pPr>
      <w:r>
        <w:rPr/>
        <w:t>Temporal / Survival Modeling</w:t>
      </w:r>
    </w:p>
    <w:p>
      <w:pPr>
        <w:pStyle w:val="Normal"/>
        <w:spacing w:before="0" w:after="140"/>
        <w:jc w:val="both"/>
        <w:rPr/>
      </w:pPr>
      <w:r>
        <w:rPr/>
        <w:t>Use the lifelines package - pure Python, CPU-native, no GPU or heavy dependency required. Fit Kaplan–Meier curves stratified by high/low CNV burden and by subtype, and a Cox Proportional Hazards model using the Phase 2 feature set to estimate hazard ratios for time-to-metastasis. This adds the temporal dimension referenced in the project title without adding any meaningful compute cost.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1E1E1E" w:val="clear"/>
          </w:tcPr>
          <w:p>
            <w:pPr>
              <w:pStyle w:val="Normal"/>
              <w:spacing w:before="0" w:after="20"/>
              <w:jc w:val="both"/>
              <w:rPr/>
            </w:pPr>
            <w:r>
              <w:rPr>
                <w:rFonts w:eastAsia="Consolas" w:cs="Consolas" w:ascii="Consolas" w:hAnsi="Consolas"/>
                <w:color w:val="D4D4D4"/>
                <w:sz w:val="18"/>
                <w:szCs w:val="18"/>
              </w:rPr>
              <w:t>from lifelines import KaplanMeierFitter, CoxPHFitter</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kmf = KaplanMeierFitter()</w:t>
            </w:r>
          </w:p>
          <w:p>
            <w:pPr>
              <w:pStyle w:val="Normal"/>
              <w:spacing w:before="0" w:after="20"/>
              <w:jc w:val="both"/>
              <w:rPr/>
            </w:pPr>
            <w:r>
              <w:rPr>
                <w:rFonts w:eastAsia="Consolas" w:cs="Consolas" w:ascii="Consolas" w:hAnsi="Consolas"/>
                <w:color w:val="D4D4D4"/>
                <w:sz w:val="18"/>
                <w:szCs w:val="18"/>
              </w:rPr>
              <w:t>kmf.fit(durations=df['time_to_event'], event_observed=df['metastasis_event'])</w:t>
            </w:r>
          </w:p>
          <w:p>
            <w:pPr>
              <w:pStyle w:val="Normal"/>
              <w:spacing w:before="0" w:after="20"/>
              <w:jc w:val="both"/>
              <w:rPr/>
            </w:pPr>
            <w:r>
              <w:rPr>
                <w:rFonts w:eastAsia="Consolas" w:cs="Consolas" w:ascii="Consolas" w:hAnsi="Consolas"/>
                <w:color w:val="D4D4D4"/>
                <w:sz w:val="18"/>
                <w:szCs w:val="18"/>
              </w:rPr>
              <w:t xml:space="preserve"> </w:t>
            </w:r>
          </w:p>
          <w:p>
            <w:pPr>
              <w:pStyle w:val="Normal"/>
              <w:spacing w:before="0" w:after="20"/>
              <w:jc w:val="both"/>
              <w:rPr/>
            </w:pPr>
            <w:r>
              <w:rPr>
                <w:rFonts w:eastAsia="Consolas" w:cs="Consolas" w:ascii="Consolas" w:hAnsi="Consolas"/>
                <w:color w:val="D4D4D4"/>
                <w:sz w:val="18"/>
                <w:szCs w:val="18"/>
              </w:rPr>
              <w:t>cph = CoxPHFitter()</w:t>
            </w:r>
          </w:p>
          <w:p>
            <w:pPr>
              <w:pStyle w:val="Normal"/>
              <w:spacing w:before="0" w:after="20"/>
              <w:jc w:val="both"/>
              <w:rPr/>
            </w:pPr>
            <w:r>
              <w:rPr>
                <w:rFonts w:eastAsia="Consolas" w:cs="Consolas" w:ascii="Consolas" w:hAnsi="Consolas"/>
                <w:color w:val="D4D4D4"/>
                <w:sz w:val="18"/>
                <w:szCs w:val="18"/>
              </w:rPr>
              <w:t>cph.fit(df[selected_features + ['time_to_event','metastasis_event']],</w:t>
            </w:r>
          </w:p>
          <w:p>
            <w:pPr>
              <w:pStyle w:val="Normal"/>
              <w:spacing w:before="0" w:after="20"/>
              <w:jc w:val="both"/>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duration_col='time_to_event', event_col='metastasis_event')</w:t>
            </w:r>
          </w:p>
          <w:p>
            <w:pPr>
              <w:pStyle w:val="Normal"/>
              <w:spacing w:before="0" w:after="20"/>
              <w:jc w:val="both"/>
              <w:rPr/>
            </w:pPr>
            <w:r>
              <w:rPr>
                <w:rFonts w:eastAsia="Consolas" w:cs="Consolas" w:ascii="Consolas" w:hAnsi="Consolas"/>
                <w:color w:val="D4D4D4"/>
                <w:sz w:val="18"/>
                <w:szCs w:val="18"/>
              </w:rPr>
              <w:t>cph.print_summary()</w:t>
            </w:r>
          </w:p>
        </w:tc>
      </w:tr>
      <w:tr>
        <w:trPr/>
        <w:tc>
          <w:tcPr>
            <w:tcW w:w="9360" w:type="dxa"/>
            <w:tcBorders>
              <w:top w:val="single" w:sz="4" w:space="0" w:color="CCCCCC"/>
              <w:left w:val="single" w:sz="4" w:space="0" w:color="CCCCCC"/>
              <w:bottom w:val="single" w:sz="4" w:space="0" w:color="CCCCCC"/>
              <w:right w:val="single" w:sz="4" w:space="0" w:color="CCCCCC"/>
            </w:tcBorders>
            <w:shd w:color="auto" w:fill="F2E6FF" w:val="clear"/>
            <w:tcMar>
              <w:top w:w="140" w:type="dxa"/>
              <w:bottom w:w="140" w:type="dxa"/>
            </w:tcMar>
          </w:tcPr>
          <w:p>
            <w:pPr>
              <w:pStyle w:val="Normal"/>
              <w:spacing w:before="0" w:after="80"/>
              <w:jc w:val="both"/>
              <w:rPr/>
            </w:pPr>
            <w:r>
              <w:rPr>
                <w:b/>
                <w:bCs/>
                <w:color w:val="5B2C6F"/>
                <w:sz w:val="20"/>
                <w:szCs w:val="20"/>
              </w:rPr>
              <w:t>OPTIONAL - INSTRUCTOR-ONLY GPU SENSITIVITY RUN</w:t>
            </w:r>
          </w:p>
          <w:p>
            <w:pPr>
              <w:pStyle w:val="Normal"/>
              <w:spacing w:before="0" w:after="60"/>
              <w:jc w:val="both"/>
              <w:rPr/>
            </w:pPr>
            <w:r>
              <w:rPr>
                <w:sz w:val="20"/>
                <w:szCs w:val="20"/>
              </w:rPr>
              <w:t xml:space="preserve">Not required for reproducibility, and not part of any student's assignment. On the 4GB VRAM builder machine, you may additionally train a deeper PyTorch feed-forward network (e.g. 3–4 hidden layers with dropout, or a small multi-omics fusion architecture that embeds CNV/RNA-Seq/RPPA separately before concatenation) as a sensitivity analysis – </w:t>
            </w:r>
            <w:r>
              <w:rPr>
                <w:sz w:val="20"/>
                <w:szCs w:val="20"/>
              </w:rPr>
              <w:t>to be</w:t>
            </w:r>
            <w:r>
              <w:rPr>
                <w:sz w:val="20"/>
                <w:szCs w:val="20"/>
              </w:rPr>
              <w:t xml:space="preserve"> reported in a supplementary table as 'do results improve with a deeper network and GPU training, or does the lightweight CPU model already capture most of the signal?' This is a genuinely useful robustness result for the discussion section, and keeps the GPU experiment cleanly separated from the pipeline every student actually runs.</w:t>
            </w:r>
          </w:p>
          <w:p>
            <w:pPr>
              <w:pStyle w:val="Normal"/>
              <w:spacing w:before="0" w:after="60"/>
              <w:jc w:val="both"/>
              <w:rPr/>
            </w:pPr>
            <w:r>
              <w:rPr>
                <w:sz w:val="20"/>
                <w:szCs w:val="20"/>
              </w:rPr>
              <w:t>Suggested install (builder machine only): pip install torch --index-url https://download.pytorch.org/whl/cu121</w:t>
            </w:r>
          </w:p>
        </w:tc>
      </w:tr>
    </w:tbl>
    <w:p>
      <w:pPr>
        <w:pStyle w:val="Heading3"/>
        <w:spacing w:before="200" w:after="100"/>
        <w:jc w:val="both"/>
        <w:rPr/>
      </w:pPr>
      <w:r>
        <w:rPr/>
        <w:t>Model Performance Targets</w:t>
      </w:r>
    </w:p>
    <w:tbl>
      <w:tblPr>
        <w:tblW w:w="9360" w:type="dxa"/>
        <w:jc w:val="left"/>
        <w:tblInd w:w="0" w:type="dxa"/>
        <w:tblLayout w:type="fixed"/>
        <w:tblCellMar>
          <w:top w:w="60" w:type="dxa"/>
          <w:left w:w="100" w:type="dxa"/>
          <w:bottom w:w="60" w:type="dxa"/>
          <w:right w:w="100" w:type="dxa"/>
        </w:tblCellMar>
      </w:tblPr>
      <w:tblGrid>
        <w:gridCol w:w="4680"/>
        <w:gridCol w:w="2340"/>
        <w:gridCol w:w="2340"/>
      </w:tblGrid>
      <w:tr>
        <w:trPr>
          <w:tblHeader w:val="true"/>
        </w:trPr>
        <w:tc>
          <w:tcPr>
            <w:tcW w:w="468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Metric</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Minimum Target</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Excellent Target</w:t>
            </w:r>
          </w:p>
        </w:tc>
      </w:tr>
      <w:tr>
        <w:trPr/>
        <w:tc>
          <w:tcPr>
            <w:tcW w:w="468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AUC-ROC</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0.75</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0.85</w:t>
            </w:r>
          </w:p>
        </w:tc>
      </w:tr>
      <w:tr>
        <w:trPr/>
        <w:tc>
          <w:tcPr>
            <w:tcW w:w="468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Accuracy</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70%</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80%</w:t>
            </w:r>
          </w:p>
        </w:tc>
      </w:tr>
      <w:tr>
        <w:trPr/>
        <w:tc>
          <w:tcPr>
            <w:tcW w:w="468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Sensitivity</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75%</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85%</w:t>
            </w:r>
          </w:p>
        </w:tc>
      </w:tr>
      <w:tr>
        <w:trPr/>
        <w:tc>
          <w:tcPr>
            <w:tcW w:w="468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Specificity</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70%</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80%</w:t>
            </w:r>
          </w:p>
        </w:tc>
      </w:tr>
      <w:tr>
        <w:trPr/>
        <w:tc>
          <w:tcPr>
            <w:tcW w:w="468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Cox PH concordance index (temporal endpoint)</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0.65</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0.75</w:t>
            </w:r>
          </w:p>
        </w:tc>
      </w:tr>
      <w:tr>
        <w:trPr/>
        <w:tc>
          <w:tcPr>
            <w:tcW w:w="9360" w:type="dxa"/>
            <w:gridSpan w:val="3"/>
            <w:tcBorders>
              <w:top w:val="single" w:sz="4" w:space="0" w:color="CCCCCC"/>
              <w:left w:val="single" w:sz="4" w:space="0" w:color="CCCCCC"/>
              <w:bottom w:val="single" w:sz="4" w:space="0" w:color="CCCCCC"/>
              <w:right w:val="single" w:sz="4" w:space="0" w:color="CCCCCC"/>
            </w:tcBorders>
            <w:shd w:color="auto" w:fill="FFF2CC" w:val="clear"/>
            <w:tcMar>
              <w:top w:w="140" w:type="dxa"/>
              <w:left w:w="200" w:type="dxa"/>
              <w:bottom w:w="140" w:type="dxa"/>
              <w:right w:w="200" w:type="dxa"/>
            </w:tcMar>
          </w:tcPr>
          <w:p>
            <w:pPr>
              <w:pStyle w:val="Normal"/>
              <w:spacing w:before="0" w:after="80"/>
              <w:jc w:val="both"/>
              <w:rPr/>
            </w:pPr>
            <w:r>
              <w:rPr>
                <w:b/>
                <w:bCs/>
                <w:color w:val="7F6000"/>
                <w:sz w:val="20"/>
                <w:szCs w:val="20"/>
              </w:rPr>
              <w:t>EXPLAINED IN SIMPLE TERMS</w:t>
            </w:r>
          </w:p>
          <w:p>
            <w:pPr>
              <w:pStyle w:val="Normal"/>
              <w:spacing w:before="0" w:after="60"/>
              <w:jc w:val="both"/>
              <w:rPr/>
            </w:pPr>
            <w:r>
              <w:rPr>
                <w:sz w:val="20"/>
                <w:szCs w:val="20"/>
              </w:rPr>
              <w:t>Now we build the 'prediction engine.' Using the patterns from Phase 2, we train several algorithms to predict whether - and, new here, roughly when - a patient's cancer is likely to spread, based on their genetic and molecular data. We compare tree-based models against a small neural network, and use SHAP to see which features each model actually relies on, so the predictions stay explainable to a clinician rather than being a black box.</w:t>
            </w:r>
          </w:p>
          <w:p>
            <w:pPr>
              <w:pStyle w:val="Normal"/>
              <w:spacing w:before="0" w:after="60"/>
              <w:jc w:val="both"/>
              <w:rPr/>
            </w:pPr>
            <w:r>
              <w:rPr/>
            </w:r>
          </w:p>
          <w:p>
            <w:pPr>
              <w:pStyle w:val="Normal"/>
              <w:spacing w:before="0" w:after="60"/>
              <w:jc w:val="both"/>
              <w:rPr/>
            </w:pPr>
            <w:r>
              <w:rPr>
                <w:sz w:val="20"/>
                <w:szCs w:val="20"/>
              </w:rPr>
              <w:t>Why this matters: a good model could help flag high-risk patients earlier, and the survival-analysis component gives a rough sense of timeline, not just yes/no risk - genuinely useful for planning monitoring schedules.</w:t>
            </w:r>
          </w:p>
          <w:p>
            <w:pPr>
              <w:pStyle w:val="Normal"/>
              <w:spacing w:before="0" w:after="60"/>
              <w:jc w:val="both"/>
              <w:rPr/>
            </w:pPr>
            <w:r>
              <w:rPr/>
            </w:r>
          </w:p>
          <w:p>
            <w:pPr>
              <w:pStyle w:val="Normal"/>
              <w:spacing w:before="0" w:after="60"/>
              <w:jc w:val="both"/>
              <w:rPr/>
            </w:pPr>
            <w:r>
              <w:rPr>
                <w:sz w:val="20"/>
                <w:szCs w:val="20"/>
              </w:rPr>
              <w:t>What to expect: a best-performing classifier above 75% accuracy (ideally 80%+), SHAP plots showing which features drive each prediction, and Kaplan–Meier curves showing how time-to-metastasis differs across risk groups and subtypes - all produced on an ordinary laptop.</w:t>
            </w:r>
          </w:p>
        </w:tc>
      </w:tr>
    </w:tbl>
    <w:p>
      <w:pPr>
        <w:pStyle w:val="Heading2"/>
        <w:spacing w:before="280" w:after="140"/>
        <w:jc w:val="both"/>
        <w:rPr/>
      </w:pPr>
      <w:r>
        <w:rPr/>
        <w:t>4.5 PHASE 4: Tool Development &amp; Deployme</w:t>
      </w:r>
      <w:r>
        <w:rPr/>
        <w:t>nt</w:t>
      </w:r>
    </w:p>
    <w:p>
      <w:pPr>
        <w:pStyle w:val="Heading3"/>
        <w:spacing w:before="200" w:after="100"/>
        <w:jc w:val="both"/>
        <w:rPr/>
      </w:pPr>
      <w:r>
        <w:rPr/>
        <w:t>Phase 4 Objectives</w:t>
      </w:r>
    </w:p>
    <w:p>
      <w:pPr>
        <w:pStyle w:val="ListParagraph"/>
        <w:numPr>
          <w:ilvl w:val="0"/>
          <w:numId w:val="1"/>
        </w:numPr>
        <w:spacing w:before="0" w:after="80"/>
        <w:jc w:val="both"/>
        <w:rPr/>
      </w:pPr>
      <w:r>
        <w:rPr/>
        <w:t>Develop a command-line tool with a Snakemake pipeline</w:t>
      </w:r>
    </w:p>
    <w:p>
      <w:pPr>
        <w:pStyle w:val="ListParagraph"/>
        <w:numPr>
          <w:ilvl w:val="0"/>
          <w:numId w:val="1"/>
        </w:numPr>
        <w:spacing w:before="0" w:after="80"/>
        <w:jc w:val="both"/>
        <w:rPr/>
      </w:pPr>
      <w:r>
        <w:rPr/>
        <w:t>Create a Flask web application for interactive predictions and survival-curve visualization</w:t>
      </w:r>
    </w:p>
    <w:p>
      <w:pPr>
        <w:pStyle w:val="ListParagraph"/>
        <w:numPr>
          <w:ilvl w:val="0"/>
          <w:numId w:val="1"/>
        </w:numPr>
        <w:spacing w:before="0" w:after="80"/>
        <w:jc w:val="both"/>
        <w:rPr/>
      </w:pPr>
      <w:r>
        <w:rPr/>
        <w:t>Build interactive Plotly dashboards</w:t>
      </w:r>
    </w:p>
    <w:p>
      <w:pPr>
        <w:pStyle w:val="ListParagraph"/>
        <w:numPr>
          <w:ilvl w:val="0"/>
          <w:numId w:val="1"/>
        </w:numPr>
        <w:spacing w:before="0" w:after="80"/>
        <w:jc w:val="both"/>
        <w:rPr/>
      </w:pPr>
      <w:r>
        <w:rPr/>
        <w:t>(Optional) Containerize with Docker for students with spare RAM</w:t>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DDEBF7" w:val="clear"/>
          </w:tcPr>
          <w:p>
            <w:pPr>
              <w:pStyle w:val="Normal"/>
              <w:spacing w:before="0" w:after="80"/>
              <w:jc w:val="both"/>
              <w:rPr/>
            </w:pPr>
            <w:r>
              <w:rPr>
                <w:b/>
                <w:bCs/>
                <w:color w:val="1F4E78"/>
                <w:sz w:val="20"/>
                <w:szCs w:val="20"/>
              </w:rPr>
              <w:t>COMPUTE CALLOUT — 4GB RAM / CPU-ONLY TIER</w:t>
            </w:r>
          </w:p>
          <w:p>
            <w:pPr>
              <w:pStyle w:val="Normal"/>
              <w:spacing w:before="0" w:after="60"/>
              <w:jc w:val="both"/>
              <w:rPr/>
            </w:pPr>
            <w:r>
              <w:rPr>
                <w:sz w:val="20"/>
                <w:szCs w:val="20"/>
              </w:rPr>
              <w:t>conda/venv + `flask run` is the required, primary install path for every student - it needs no daemon and typically adds well under 200MB of overhead on top of the existing environment.</w:t>
            </w:r>
          </w:p>
          <w:p>
            <w:pPr>
              <w:pStyle w:val="Normal"/>
              <w:spacing w:before="0" w:after="60"/>
              <w:jc w:val="both"/>
              <w:rPr/>
            </w:pPr>
            <w:r>
              <w:rPr>
                <w:sz w:val="20"/>
                <w:szCs w:val="20"/>
              </w:rPr>
              <w:t>Docker is offered as a convenience only. The Docker daemon itself can consume 1–2GB of RAM before any application code runs, which can push a 4GB machine into swapping. Mark the Dockerfile clearly as OPTIONAL in the repository README.</w:t>
            </w:r>
          </w:p>
        </w:tc>
      </w:tr>
      <w:tr>
        <w:trPr/>
        <w:tc>
          <w:tcPr>
            <w:tcW w:w="9360" w:type="dxa"/>
            <w:tcBorders>
              <w:top w:val="single" w:sz="4" w:space="0" w:color="CCCCCC"/>
              <w:left w:val="single" w:sz="4" w:space="0" w:color="CCCCCC"/>
              <w:bottom w:val="single" w:sz="4" w:space="0" w:color="CCCCCC"/>
              <w:right w:val="single" w:sz="4" w:space="0" w:color="CCCCCC"/>
            </w:tcBorders>
            <w:shd w:color="auto" w:fill="FFF2CC" w:val="clear"/>
          </w:tcPr>
          <w:p>
            <w:pPr>
              <w:pStyle w:val="Normal"/>
              <w:spacing w:before="0" w:after="80"/>
              <w:jc w:val="both"/>
              <w:rPr/>
            </w:pPr>
            <w:r>
              <w:rPr>
                <w:b/>
                <w:bCs/>
                <w:color w:val="7F6000"/>
                <w:sz w:val="20"/>
                <w:szCs w:val="20"/>
              </w:rPr>
              <w:t>EXPLAINED IN SIMPLE TERMS</w:t>
            </w:r>
          </w:p>
          <w:p>
            <w:pPr>
              <w:pStyle w:val="Normal"/>
              <w:spacing w:before="0" w:after="60"/>
              <w:jc w:val="both"/>
              <w:rPr/>
            </w:pPr>
            <w:r>
              <w:rPr>
                <w:sz w:val="20"/>
                <w:szCs w:val="20"/>
              </w:rPr>
              <w:t>This phase packages the model so others can use it: a command-line tool for people comfortable with a terminal, and a point-and-click web app for clinicians or researchers who aren't. Docker is available for anyone who wants a one-command install, but it's optional - the plain conda/venv path works everywhere, including on the most constrained laptops in the class.</w:t>
            </w:r>
          </w:p>
          <w:p>
            <w:pPr>
              <w:pStyle w:val="Normal"/>
              <w:spacing w:before="0" w:after="60"/>
              <w:jc w:val="both"/>
              <w:rPr/>
            </w:pPr>
            <w:r>
              <w:rPr/>
            </w:r>
          </w:p>
          <w:p>
            <w:pPr>
              <w:pStyle w:val="Normal"/>
              <w:spacing w:before="0" w:after="60"/>
              <w:jc w:val="both"/>
              <w:rPr/>
            </w:pPr>
            <w:r>
              <w:rPr>
                <w:sz w:val="20"/>
                <w:szCs w:val="20"/>
              </w:rPr>
              <w:t>Why this matters: even the best model is useless if nobody can run it. Keeping the primary install path lightweight means every student - not just the ones with newer hardware - ends the course with a working, demoable tool.</w:t>
            </w:r>
          </w:p>
          <w:p>
            <w:pPr>
              <w:pStyle w:val="Normal"/>
              <w:spacing w:before="0" w:after="60"/>
              <w:jc w:val="both"/>
              <w:rPr/>
            </w:pPr>
            <w:r>
              <w:rPr/>
            </w:r>
          </w:p>
          <w:p>
            <w:pPr>
              <w:pStyle w:val="Normal"/>
              <w:spacing w:before="0" w:after="60"/>
              <w:jc w:val="both"/>
              <w:rPr/>
            </w:pPr>
            <w:r>
              <w:rPr>
                <w:sz w:val="20"/>
                <w:szCs w:val="20"/>
              </w:rPr>
              <w:t>What to expect: a Flask app where you can upload a patient's data, see their CNV profile, and get a metastasis risk score with a SHAP-based explanation and an estimated risk trajectory over time.</w:t>
            </w:r>
          </w:p>
        </w:tc>
      </w:tr>
    </w:tbl>
    <w:p>
      <w:pPr>
        <w:pStyle w:val="Heading2"/>
        <w:spacing w:before="280" w:after="140"/>
        <w:jc w:val="both"/>
        <w:rPr/>
      </w:pPr>
      <w:r>
        <w:rPr/>
        <w:t>4.6 PHASE 5: Manuscript Preparation &amp; Publication</w:t>
      </w:r>
    </w:p>
    <w:p>
      <w:pPr>
        <w:pStyle w:val="Heading3"/>
        <w:spacing w:before="200" w:after="100"/>
        <w:jc w:val="both"/>
        <w:rPr/>
      </w:pPr>
      <w:r>
        <w:rPr/>
        <w:t>Phase 5 Objectives</w:t>
      </w:r>
    </w:p>
    <w:p>
      <w:pPr>
        <w:pStyle w:val="ListParagraph"/>
        <w:numPr>
          <w:ilvl w:val="0"/>
          <w:numId w:val="1"/>
        </w:numPr>
        <w:spacing w:before="0" w:after="80"/>
        <w:jc w:val="both"/>
        <w:rPr/>
      </w:pPr>
      <w:r>
        <w:rPr/>
        <w:t>Write a comprehensive research manuscript</w:t>
      </w:r>
    </w:p>
    <w:p>
      <w:pPr>
        <w:pStyle w:val="ListParagraph"/>
        <w:numPr>
          <w:ilvl w:val="0"/>
          <w:numId w:val="1"/>
        </w:numPr>
        <w:spacing w:before="0" w:after="80"/>
        <w:jc w:val="both"/>
        <w:rPr/>
      </w:pPr>
      <w:r>
        <w:rPr/>
        <w:t>Create publication-quality figures and tables, including subtype-stratified and survival-curve figures</w:t>
      </w:r>
    </w:p>
    <w:p>
      <w:pPr>
        <w:pStyle w:val="ListParagraph"/>
        <w:numPr>
          <w:ilvl w:val="0"/>
          <w:numId w:val="1"/>
        </w:numPr>
        <w:spacing w:before="0" w:after="80"/>
        <w:jc w:val="both"/>
        <w:rPr/>
      </w:pPr>
      <w:r>
        <w:rPr/>
        <w:t>Prepare supplementary materials and the code repository</w:t>
      </w:r>
    </w:p>
    <w:p>
      <w:pPr>
        <w:pStyle w:val="ListParagraph"/>
        <w:numPr>
          <w:ilvl w:val="0"/>
          <w:numId w:val="1"/>
        </w:numPr>
        <w:spacing w:before="0" w:after="80"/>
        <w:jc w:val="both"/>
        <w:rPr/>
      </w:pPr>
      <w:r>
        <w:rPr/>
        <w:t>Submit to a target journal (Breast Cancer Research, Nature Communications, Clinical Cancer Research)</w:t>
      </w:r>
    </w:p>
    <w:p>
      <w:pPr>
        <w:pStyle w:val="Heading3"/>
        <w:spacing w:before="200" w:after="100"/>
        <w:jc w:val="both"/>
        <w:rPr/>
      </w:pPr>
      <w:r>
        <w:rPr/>
        <w:t>Manuscript Structure</w:t>
      </w:r>
    </w:p>
    <w:p>
      <w:pPr>
        <w:pStyle w:val="ListParagraph"/>
        <w:numPr>
          <w:ilvl w:val="0"/>
          <w:numId w:val="1"/>
        </w:numPr>
        <w:spacing w:before="0" w:after="80"/>
        <w:jc w:val="both"/>
        <w:rPr/>
      </w:pPr>
      <w:r>
        <w:rPr/>
        <w:t>Abstract: concise summary of objectives, methods, results, and impact</w:t>
      </w:r>
    </w:p>
    <w:p>
      <w:pPr>
        <w:pStyle w:val="ListParagraph"/>
        <w:numPr>
          <w:ilvl w:val="0"/>
          <w:numId w:val="1"/>
        </w:numPr>
        <w:spacing w:before="0" w:after="80"/>
        <w:jc w:val="both"/>
        <w:rPr/>
      </w:pPr>
      <w:r>
        <w:rPr/>
        <w:t>Introduction: background on BRCA metastasis, subtype heterogeneity, CNVs, research gap, objectives</w:t>
      </w:r>
    </w:p>
    <w:p>
      <w:pPr>
        <w:pStyle w:val="ListParagraph"/>
        <w:numPr>
          <w:ilvl w:val="0"/>
          <w:numId w:val="1"/>
        </w:numPr>
        <w:spacing w:before="0" w:after="80"/>
        <w:jc w:val="both"/>
        <w:rPr/>
      </w:pPr>
      <w:r>
        <w:rPr/>
        <w:t>Methods: data sources, preprocessing, subtype-stratified CNV analysis, ML and survival framework, validation, and a short note on the CPU-only/4GB-RAM reproducibility design</w:t>
      </w:r>
    </w:p>
    <w:p>
      <w:pPr>
        <w:pStyle w:val="ListParagraph"/>
        <w:numPr>
          <w:ilvl w:val="0"/>
          <w:numId w:val="1"/>
        </w:numPr>
        <w:spacing w:before="0" w:after="80"/>
        <w:jc w:val="both"/>
        <w:rPr/>
      </w:pPr>
      <w:r>
        <w:rPr/>
        <w:t>Results: CNV discoveries (overall and per-subtype), model performance, temporal/survival findings, interpretability analysis, optional GPU-vs-CPU sensitivity comparison</w:t>
      </w:r>
    </w:p>
    <w:p>
      <w:pPr>
        <w:pStyle w:val="ListParagraph"/>
        <w:numPr>
          <w:ilvl w:val="0"/>
          <w:numId w:val="1"/>
        </w:numPr>
        <w:spacing w:before="0" w:after="80"/>
        <w:jc w:val="both"/>
        <w:rPr/>
      </w:pPr>
      <w:r>
        <w:rPr/>
        <w:t>Discussion: biological significance, clinical implications, limitations, future work</w:t>
      </w:r>
    </w:p>
    <w:p>
      <w:pPr>
        <w:pStyle w:val="ListParagraph"/>
        <w:numPr>
          <w:ilvl w:val="0"/>
          <w:numId w:val="1"/>
        </w:numPr>
        <w:spacing w:before="0" w:after="80"/>
        <w:jc w:val="both"/>
        <w:rPr/>
      </w:pPr>
      <w:r>
        <w:rPr/>
        <w:t>Supplementary: extended methods, additional figures, code and data availability</w:t>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color="auto" w:fill="FFF2CC" w:val="clear"/>
          </w:tcPr>
          <w:p>
            <w:pPr>
              <w:pStyle w:val="Normal"/>
              <w:spacing w:before="0" w:after="80"/>
              <w:jc w:val="both"/>
              <w:rPr/>
            </w:pPr>
            <w:r>
              <w:rPr>
                <w:b/>
                <w:bCs/>
                <w:color w:val="7F6000"/>
                <w:sz w:val="20"/>
                <w:szCs w:val="20"/>
              </w:rPr>
              <w:t>EXPLAINED IN SIMPLE TERMS</w:t>
            </w:r>
          </w:p>
          <w:p>
            <w:pPr>
              <w:pStyle w:val="Normal"/>
              <w:spacing w:before="0" w:after="60"/>
              <w:jc w:val="both"/>
              <w:rPr/>
            </w:pPr>
            <w:r>
              <w:rPr>
                <w:sz w:val="20"/>
                <w:szCs w:val="20"/>
              </w:rPr>
              <w:t>This is where the findings get written up for the world. We document what we did, what we found, and why it matters - with professional figures and a fully reproducible code and data trail so other researchers can check and build on the work.</w:t>
            </w:r>
          </w:p>
          <w:p>
            <w:pPr>
              <w:pStyle w:val="Normal"/>
              <w:spacing w:before="0" w:after="60"/>
              <w:jc w:val="both"/>
              <w:rPr/>
            </w:pPr>
            <w:r>
              <w:rPr/>
            </w:r>
          </w:p>
          <w:p>
            <w:pPr>
              <w:pStyle w:val="Normal"/>
              <w:spacing w:before="0" w:after="60"/>
              <w:jc w:val="both"/>
              <w:rPr/>
            </w:pPr>
            <w:r>
              <w:rPr>
                <w:sz w:val="20"/>
                <w:szCs w:val="20"/>
              </w:rPr>
              <w:t>Why this matters: peer review validates the findings, and good documentation - including how to reproduce everything on modest hardware - makes the work usable well beyond the original team.</w:t>
            </w:r>
          </w:p>
          <w:p>
            <w:pPr>
              <w:pStyle w:val="Normal"/>
              <w:spacing w:before="0" w:after="60"/>
              <w:jc w:val="both"/>
              <w:rPr/>
            </w:pPr>
            <w:r>
              <w:rPr/>
            </w:r>
          </w:p>
          <w:p>
            <w:pPr>
              <w:pStyle w:val="Normal"/>
              <w:spacing w:before="0" w:after="60"/>
              <w:jc w:val="both"/>
              <w:rPr/>
            </w:pPr>
            <w:r>
              <w:rPr>
                <w:sz w:val="20"/>
                <w:szCs w:val="20"/>
              </w:rPr>
              <w:t>What to expect: a submission-ready manuscript of roughly 15–25 pages with 6–8 main figures, comprehensive supplementary materials, and a GitHub repository containing all code. After submission, expect 2–4 months for peer review, followed by revisions.</w:t>
            </w:r>
          </w:p>
        </w:tc>
      </w:tr>
    </w:tbl>
    <w:p>
      <w:pPr>
        <w:pStyle w:val="Normal"/>
        <w:spacing w:before="0" w:after="120"/>
        <w:jc w:val="both"/>
        <w:rPr/>
      </w:pPr>
      <w:r>
        <w:rPr/>
      </w:r>
    </w:p>
    <w:p>
      <w:pPr>
        <w:pStyle w:val="Heading1"/>
        <w:spacing w:before="360" w:after="180"/>
        <w:jc w:val="both"/>
        <w:rPr/>
      </w:pPr>
      <w:r>
        <w:rPr/>
        <w:t>5. ESSENTIAL TOOLS &amp; SOFTWARE</w:t>
      </w:r>
    </w:p>
    <w:tbl>
      <w:tblPr>
        <w:tblW w:w="9360" w:type="dxa"/>
        <w:jc w:val="left"/>
        <w:tblInd w:w="0" w:type="dxa"/>
        <w:tblLayout w:type="fixed"/>
        <w:tblCellMar>
          <w:top w:w="60" w:type="dxa"/>
          <w:left w:w="100" w:type="dxa"/>
          <w:bottom w:w="60" w:type="dxa"/>
          <w:right w:w="100" w:type="dxa"/>
        </w:tblCellMar>
      </w:tblPr>
      <w:tblGrid>
        <w:gridCol w:w="2246"/>
        <w:gridCol w:w="2621"/>
        <w:gridCol w:w="2621"/>
        <w:gridCol w:w="1871"/>
      </w:tblGrid>
      <w:tr>
        <w:trPr>
          <w:tblHeader w:val="true"/>
        </w:trPr>
        <w:tc>
          <w:tcPr>
            <w:tcW w:w="2246"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Tool</w:t>
            </w:r>
          </w:p>
        </w:tc>
        <w:tc>
          <w:tcPr>
            <w:tcW w:w="2621"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Purpose</w:t>
            </w:r>
          </w:p>
        </w:tc>
        <w:tc>
          <w:tcPr>
            <w:tcW w:w="2621"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Installation</w:t>
            </w:r>
          </w:p>
        </w:tc>
        <w:tc>
          <w:tcPr>
            <w:tcW w:w="1871"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Required?</w:t>
            </w:r>
          </w:p>
        </w:tc>
      </w:tr>
      <w:tr>
        <w:trPr/>
        <w:tc>
          <w:tcPr>
            <w:tcW w:w="224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GISTIC2.0</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CNV significance analysis</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Broad Institute</w:t>
            </w:r>
          </w:p>
        </w:tc>
        <w:tc>
          <w:tcPr>
            <w:tcW w:w="187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Path A build</w:t>
            </w:r>
          </w:p>
        </w:tc>
      </w:tr>
      <w:tr>
        <w:trPr/>
        <w:tc>
          <w:tcPr>
            <w:tcW w:w="224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DESeq2</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Differential expression analysis</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BiocManager::install('DESeq2')</w:t>
            </w:r>
          </w:p>
        </w:tc>
        <w:tc>
          <w:tcPr>
            <w:tcW w:w="187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Path A build</w:t>
            </w:r>
          </w:p>
        </w:tc>
      </w:tr>
      <w:tr>
        <w:trPr/>
        <w:tc>
          <w:tcPr>
            <w:tcW w:w="224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bedtools</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Genomic interval operations</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conda install bedtools</w:t>
            </w:r>
          </w:p>
        </w:tc>
        <w:tc>
          <w:tcPr>
            <w:tcW w:w="187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Path B</w:t>
            </w:r>
          </w:p>
        </w:tc>
      </w:tr>
      <w:tr>
        <w:trPr/>
        <w:tc>
          <w:tcPr>
            <w:tcW w:w="224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maftools</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Mutation analysis &amp; visualization</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BiocManager::install('maftools')</w:t>
            </w:r>
          </w:p>
        </w:tc>
        <w:tc>
          <w:tcPr>
            <w:tcW w:w="187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Optional</w:t>
            </w:r>
          </w:p>
        </w:tc>
      </w:tr>
      <w:tr>
        <w:trPr/>
        <w:tc>
          <w:tcPr>
            <w:tcW w:w="224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scikit-learn, xgboost, lightgbm, shap</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Model training &amp; interpretability</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pip install scikit-learn xgboost lightgbm shap</w:t>
            </w:r>
          </w:p>
        </w:tc>
        <w:tc>
          <w:tcPr>
            <w:tcW w:w="187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Required - all students</w:t>
            </w:r>
          </w:p>
        </w:tc>
      </w:tr>
      <w:tr>
        <w:trPr/>
        <w:tc>
          <w:tcPr>
            <w:tcW w:w="224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lifelines</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Survival / time-to-metastasis modeling</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pip install lifelines</w:t>
            </w:r>
          </w:p>
        </w:tc>
        <w:tc>
          <w:tcPr>
            <w:tcW w:w="187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Required - all students</w:t>
            </w:r>
          </w:p>
        </w:tc>
      </w:tr>
      <w:tr>
        <w:trPr/>
        <w:tc>
          <w:tcPr>
            <w:tcW w:w="2246"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Docker</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One-command deployment</w:t>
            </w:r>
          </w:p>
        </w:tc>
        <w:tc>
          <w:tcPr>
            <w:tcW w:w="262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docker.com</w:t>
            </w:r>
          </w:p>
        </w:tc>
        <w:tc>
          <w:tcPr>
            <w:tcW w:w="1871"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Optional</w:t>
            </w:r>
          </w:p>
        </w:tc>
      </w:tr>
      <w:tr>
        <w:trPr/>
        <w:tc>
          <w:tcPr>
            <w:tcW w:w="2246"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PyTorch</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GPU sensitivity run</w:t>
            </w:r>
          </w:p>
        </w:tc>
        <w:tc>
          <w:tcPr>
            <w:tcW w:w="262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pip install torch (CUDA build)</w:t>
            </w:r>
          </w:p>
        </w:tc>
        <w:tc>
          <w:tcPr>
            <w:tcW w:w="1871"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Optional</w:t>
            </w:r>
          </w:p>
        </w:tc>
      </w:tr>
    </w:tbl>
    <w:p>
      <w:pPr>
        <w:pStyle w:val="Normal"/>
        <w:spacing w:before="0" w:after="120"/>
        <w:jc w:val="both"/>
        <w:rPr/>
      </w:pPr>
      <w:r>
        <w:rPr/>
      </w:r>
    </w:p>
    <w:p>
      <w:pPr>
        <w:pStyle w:val="Heading1"/>
        <w:spacing w:before="360" w:after="180"/>
        <w:jc w:val="both"/>
        <w:rPr/>
      </w:pPr>
      <w:r>
        <w:rPr/>
        <w:t>6. EXPECTED RESULTS &amp; SUCCESS CRITERIA</w:t>
      </w:r>
    </w:p>
    <w:p>
      <w:pPr>
        <w:pStyle w:val="Heading2"/>
        <w:spacing w:before="280" w:after="140"/>
        <w:jc w:val="both"/>
        <w:rPr/>
      </w:pPr>
      <w:r>
        <w:rPr/>
        <w:t>6.1 Model Performance Metrics</w:t>
      </w:r>
    </w:p>
    <w:tbl>
      <w:tblPr>
        <w:tblW w:w="9360" w:type="dxa"/>
        <w:jc w:val="left"/>
        <w:tblInd w:w="0" w:type="dxa"/>
        <w:tblLayout w:type="fixed"/>
        <w:tblCellMar>
          <w:top w:w="60" w:type="dxa"/>
          <w:left w:w="100" w:type="dxa"/>
          <w:bottom w:w="60" w:type="dxa"/>
          <w:right w:w="100" w:type="dxa"/>
        </w:tblCellMar>
      </w:tblPr>
      <w:tblGrid>
        <w:gridCol w:w="4680"/>
        <w:gridCol w:w="2340"/>
        <w:gridCol w:w="2340"/>
      </w:tblGrid>
      <w:tr>
        <w:trPr>
          <w:tblHeader w:val="true"/>
        </w:trPr>
        <w:tc>
          <w:tcPr>
            <w:tcW w:w="468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Metric</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Minimum Target</w:t>
            </w:r>
          </w:p>
        </w:tc>
        <w:tc>
          <w:tcPr>
            <w:tcW w:w="2340" w:type="dxa"/>
            <w:tcBorders>
              <w:top w:val="single" w:sz="4" w:space="0" w:color="CCCCCC"/>
              <w:left w:val="single" w:sz="4" w:space="0" w:color="CCCCCC"/>
              <w:bottom w:val="single" w:sz="4" w:space="0" w:color="CCCCCC"/>
              <w:right w:val="single" w:sz="4" w:space="0" w:color="CCCCCC"/>
            </w:tcBorders>
            <w:shd w:color="auto" w:fill="2F5496" w:val="clear"/>
          </w:tcPr>
          <w:p>
            <w:pPr>
              <w:pStyle w:val="Normal"/>
              <w:jc w:val="both"/>
              <w:rPr/>
            </w:pPr>
            <w:r>
              <w:rPr>
                <w:b/>
                <w:bCs/>
                <w:color w:val="FFFFFF"/>
                <w:sz w:val="20"/>
                <w:szCs w:val="20"/>
              </w:rPr>
              <w:t>Excellent Target</w:t>
            </w:r>
          </w:p>
        </w:tc>
      </w:tr>
      <w:tr>
        <w:trPr/>
        <w:tc>
          <w:tcPr>
            <w:tcW w:w="468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AUC-ROC</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0.75</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0.85</w:t>
            </w:r>
          </w:p>
        </w:tc>
      </w:tr>
      <w:tr>
        <w:trPr/>
        <w:tc>
          <w:tcPr>
            <w:tcW w:w="468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Accuracy</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70%</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80%</w:t>
            </w:r>
          </w:p>
        </w:tc>
      </w:tr>
      <w:tr>
        <w:trPr/>
        <w:tc>
          <w:tcPr>
            <w:tcW w:w="468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Sensitivity</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75%</w:t>
            </w:r>
          </w:p>
        </w:tc>
        <w:tc>
          <w:tcPr>
            <w:tcW w:w="2340" w:type="dxa"/>
            <w:tcBorders>
              <w:top w:val="single" w:sz="4" w:space="0" w:color="CCCCCC"/>
              <w:left w:val="single" w:sz="4" w:space="0" w:color="CCCCCC"/>
              <w:bottom w:val="single" w:sz="4" w:space="0" w:color="CCCCCC"/>
              <w:right w:val="single" w:sz="4" w:space="0" w:color="CCCCCC"/>
            </w:tcBorders>
            <w:shd w:color="auto" w:fill="F2F2F2" w:val="clear"/>
          </w:tcPr>
          <w:p>
            <w:pPr>
              <w:pStyle w:val="Normal"/>
              <w:jc w:val="both"/>
              <w:rPr/>
            </w:pPr>
            <w:r>
              <w:rPr>
                <w:sz w:val="20"/>
                <w:szCs w:val="20"/>
              </w:rPr>
              <w:t>&gt; 85%</w:t>
            </w:r>
          </w:p>
        </w:tc>
      </w:tr>
      <w:tr>
        <w:trPr/>
        <w:tc>
          <w:tcPr>
            <w:tcW w:w="468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Specificity</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70%</w:t>
            </w:r>
          </w:p>
        </w:tc>
        <w:tc>
          <w:tcPr>
            <w:tcW w:w="2340" w:type="dxa"/>
            <w:tcBorders>
              <w:top w:val="single" w:sz="4" w:space="0" w:color="CCCCCC"/>
              <w:left w:val="single" w:sz="4" w:space="0" w:color="CCCCCC"/>
              <w:bottom w:val="single" w:sz="4" w:space="0" w:color="CCCCCC"/>
              <w:right w:val="single" w:sz="4" w:space="0" w:color="CCCCCC"/>
            </w:tcBorders>
            <w:shd w:color="auto" w:fill="FFFFFF" w:val="clear"/>
          </w:tcPr>
          <w:p>
            <w:pPr>
              <w:pStyle w:val="Normal"/>
              <w:jc w:val="both"/>
              <w:rPr/>
            </w:pPr>
            <w:r>
              <w:rPr>
                <w:sz w:val="20"/>
                <w:szCs w:val="20"/>
              </w:rPr>
              <w:t>&gt; 80%</w:t>
            </w:r>
          </w:p>
        </w:tc>
      </w:tr>
    </w:tbl>
    <w:p>
      <w:pPr>
        <w:pStyle w:val="Heading2"/>
        <w:spacing w:before="280" w:after="140"/>
        <w:jc w:val="both"/>
        <w:rPr/>
      </w:pPr>
      <w:r>
        <w:rPr/>
        <w:t>6.2 Anticipated Outcomes</w:t>
      </w:r>
    </w:p>
    <w:p>
      <w:pPr>
        <w:pStyle w:val="ListParagraph"/>
        <w:numPr>
          <w:ilvl w:val="0"/>
          <w:numId w:val="1"/>
        </w:numPr>
        <w:spacing w:before="0" w:after="80"/>
        <w:jc w:val="both"/>
        <w:rPr/>
      </w:pPr>
      <w:r>
        <w:rPr/>
        <w:t>Identification of 20–50 metastasis-linked CNV regions with statistical significance, overall and per subtype</w:t>
      </w:r>
    </w:p>
    <w:p>
      <w:pPr>
        <w:pStyle w:val="ListParagraph"/>
        <w:numPr>
          <w:ilvl w:val="0"/>
          <w:numId w:val="1"/>
        </w:numPr>
        <w:spacing w:before="0" w:after="80"/>
        <w:jc w:val="both"/>
        <w:rPr/>
      </w:pPr>
      <w:r>
        <w:rPr/>
        <w:t>Discovery of novel CNV–gene expression relationships, including subtype-specific patterns</w:t>
      </w:r>
    </w:p>
    <w:p>
      <w:pPr>
        <w:pStyle w:val="ListParagraph"/>
        <w:numPr>
          <w:ilvl w:val="0"/>
          <w:numId w:val="1"/>
        </w:numPr>
        <w:spacing w:before="0" w:after="80"/>
        <w:jc w:val="both"/>
        <w:rPr/>
      </w:pPr>
      <w:r>
        <w:rPr/>
        <w:t>A time-to-metastasis model (Kaplan–Meier + Cox PH) alongside standard classification</w:t>
      </w:r>
    </w:p>
    <w:p>
      <w:pPr>
        <w:pStyle w:val="ListParagraph"/>
        <w:numPr>
          <w:ilvl w:val="0"/>
          <w:numId w:val="1"/>
        </w:numPr>
        <w:spacing w:before="0" w:after="80"/>
        <w:jc w:val="both"/>
        <w:rPr/>
      </w:pPr>
      <w:r>
        <w:rPr/>
        <w:t>Interpretable predictive models with clear clinical applicability</w:t>
      </w:r>
    </w:p>
    <w:p>
      <w:pPr>
        <w:pStyle w:val="ListParagraph"/>
        <w:numPr>
          <w:ilvl w:val="0"/>
          <w:numId w:val="1"/>
        </w:numPr>
        <w:spacing w:before="0" w:after="80"/>
        <w:jc w:val="both"/>
        <w:rPr/>
      </w:pPr>
      <w:r>
        <w:rPr/>
        <w:t>A demonstrated, citable result that the full pipeline reproduces on 4GB RAM / CPU-only hardware - relevant to low-resource research settings</w:t>
      </w:r>
    </w:p>
    <w:p>
      <w:pPr>
        <w:pStyle w:val="ListParagraph"/>
        <w:numPr>
          <w:ilvl w:val="0"/>
          <w:numId w:val="1"/>
        </w:numPr>
        <w:spacing w:before="0" w:after="80"/>
        <w:jc w:val="both"/>
        <w:rPr/>
      </w:pPr>
      <w:r>
        <w:rPr/>
        <w:t>Potential for clinical translation in subtype-aware, personalized oncology surveillance</w:t>
      </w:r>
    </w:p>
    <w:p>
      <w:pPr>
        <w:pStyle w:val="Normal"/>
        <w:spacing w:before="0" w:after="120"/>
        <w:jc w:val="both"/>
        <w:rPr/>
      </w:pPr>
      <w:r>
        <w:rPr/>
      </w:r>
    </w:p>
    <w:p>
      <w:pPr>
        <w:pStyle w:val="Normal"/>
        <w:spacing w:before="0" w:after="120"/>
        <w:jc w:val="both"/>
        <w:rPr/>
      </w:pPr>
      <w:r>
        <w:rPr/>
      </w:r>
    </w:p>
    <w:p>
      <w:pPr>
        <w:pStyle w:val="Heading1"/>
        <w:spacing w:before="360" w:after="180"/>
        <w:jc w:val="both"/>
        <w:rPr/>
      </w:pPr>
      <w:r>
        <w:rPr/>
        <w:t>7. FINAL REMARKS</w:t>
      </w:r>
    </w:p>
    <w:p>
      <w:pPr>
        <w:pStyle w:val="Normal"/>
        <w:spacing w:before="0" w:after="140"/>
        <w:jc w:val="both"/>
        <w:rPr/>
      </w:pPr>
      <w:r>
        <w:rPr/>
        <w:t>This guide outlines a complete, publication-ready research framework for a multi-omics, subtype- and time-aware CNV prediction model for breast cancer metastasis - designed from the ground up so that a student on a 4GB RAM, CPU-only laptop can run every required phase to completion, while the instructor retains the option of a deeper GPU-accelerated sensitivity analysis on their own machine. Success relies on:</w:t>
      </w:r>
    </w:p>
    <w:p>
      <w:pPr>
        <w:pStyle w:val="ListParagraph"/>
        <w:numPr>
          <w:ilvl w:val="0"/>
          <w:numId w:val="1"/>
        </w:numPr>
        <w:spacing w:before="0" w:after="80"/>
        <w:jc w:val="both"/>
        <w:rPr/>
      </w:pPr>
      <w:r>
        <w:rPr/>
        <w:t>Rigorous data quality control and validation at every step</w:t>
      </w:r>
    </w:p>
    <w:p>
      <w:pPr>
        <w:pStyle w:val="ListParagraph"/>
        <w:numPr>
          <w:ilvl w:val="0"/>
          <w:numId w:val="1"/>
        </w:numPr>
        <w:spacing w:before="0" w:after="80"/>
        <w:jc w:val="both"/>
        <w:rPr/>
      </w:pPr>
      <w:r>
        <w:rPr/>
        <w:t>Feature reduction in Phase 2 treated as a hard checkpoint, not an afterthought</w:t>
      </w:r>
    </w:p>
    <w:p>
      <w:pPr>
        <w:pStyle w:val="ListParagraph"/>
        <w:numPr>
          <w:ilvl w:val="0"/>
          <w:numId w:val="1"/>
        </w:numPr>
        <w:spacing w:before="0" w:after="80"/>
        <w:jc w:val="both"/>
        <w:rPr/>
      </w:pPr>
      <w:r>
        <w:rPr/>
        <w:t>Transparent cross-validation and comprehensive model interpretability</w:t>
      </w:r>
    </w:p>
    <w:p>
      <w:pPr>
        <w:pStyle w:val="ListParagraph"/>
        <w:numPr>
          <w:ilvl w:val="0"/>
          <w:numId w:val="1"/>
        </w:numPr>
        <w:spacing w:before="0" w:after="80"/>
        <w:jc w:val="both"/>
        <w:rPr/>
      </w:pPr>
      <w:r>
        <w:rPr/>
        <w:t>Strong biological validation and clear clinical context, reported per subtype where relevant</w:t>
      </w:r>
    </w:p>
    <w:p>
      <w:pPr>
        <w:pStyle w:val="ListParagraph"/>
        <w:numPr>
          <w:ilvl w:val="0"/>
          <w:numId w:val="1"/>
        </w:numPr>
        <w:spacing w:before="0" w:after="80"/>
        <w:jc w:val="both"/>
        <w:rPr/>
      </w:pPr>
      <w:r>
        <w:rPr/>
        <w:t>Thorough documentation and fully reproducible pipelines - including the hardware tier each result was produced on</w:t>
      </w:r>
    </w:p>
    <w:p>
      <w:pPr>
        <w:pStyle w:val="Normal"/>
        <w:spacing w:before="0" w:after="140"/>
        <w:jc w:val="both"/>
        <w:rPr/>
      </w:pPr>
      <w:r>
        <w:rPr/>
        <w:t>Maintain a detailed README, requirements file, and Jupyter notebooks (with matching Colab versions) to ensure transparency and reproducibility across every student's hardware.</w:t>
      </w:r>
    </w:p>
    <w:p>
      <w:pPr>
        <w:pStyle w:val="Normal"/>
        <w:spacing w:before="0" w:after="140"/>
        <w:jc w:val="both"/>
        <w:rPr/>
      </w:pPr>
      <w:r>
        <w:rPr/>
        <w:t>This project has the potential to make a substantial impact in precision oncology by enabling subtype-aware, time-sensitive metastasis prediction for BRCA patients - and to demonstrate, as a methodological side benefit, that rigorous multi-omics ML pipelines don't require expensive hardware to be reproducible.</w:t>
      </w:r>
    </w:p>
    <w:p>
      <w:pPr>
        <w:pStyle w:val="Normal"/>
        <w:spacing w:before="200" w:after="400"/>
        <w:jc w:val="both"/>
        <w:rPr>
          <w:color w:val="888888"/>
          <w:sz w:val="18"/>
          <w:szCs w:val="18"/>
        </w:rPr>
      </w:pPr>
      <w:r>
        <w:rPr/>
        <w:t>Good luck!</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12</Pages>
  <Words>3964</Words>
  <Characters>24241</Characters>
  <CharactersWithSpaces>27793</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2026-08-08T09:21:45Z</dcterms:created>
  <dc:creator>Un-named</dc:creator>
  <dc:description/>
  <dc:language>en-US</dc:language>
  <cp:lastModifiedBy/>
  <dcterms:modified xsi:type="dcterms:W3CDTF">2026-08-08T12:14:09Z</dcterms:modified>
  <cp:revision>2</cp:revision>
  <dc:subject/>
  <dc:title/>
</cp:coreProperties>
</file>