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0FBD0" w14:textId="7834053F" w:rsidR="00E206BC" w:rsidRPr="00B822FB" w:rsidRDefault="00E206BC" w:rsidP="00E206BC">
      <w:pPr>
        <w:rPr>
          <w:rFonts w:ascii="Calibri" w:hAnsi="Calibri" w:cs="Calibri"/>
          <w:b/>
          <w:sz w:val="20"/>
          <w:szCs w:val="20"/>
          <w:lang w:val="en-US"/>
        </w:rPr>
      </w:pPr>
      <w:r w:rsidRPr="00B822FB">
        <w:rPr>
          <w:rFonts w:ascii="Calibri" w:hAnsi="Calibri" w:cs="Calibri"/>
          <w:b/>
          <w:sz w:val="20"/>
          <w:szCs w:val="20"/>
          <w:lang w:val="en-US"/>
        </w:rPr>
        <w:t xml:space="preserve">Box 1. Summary of </w:t>
      </w:r>
      <w:r w:rsidR="00B15DE3">
        <w:rPr>
          <w:rFonts w:ascii="Calibri" w:hAnsi="Calibri" w:cs="Calibri"/>
          <w:b/>
          <w:sz w:val="20"/>
          <w:szCs w:val="20"/>
          <w:lang w:val="en-US"/>
        </w:rPr>
        <w:t xml:space="preserve">observations and </w:t>
      </w:r>
      <w:r w:rsidRPr="00B822FB">
        <w:rPr>
          <w:rFonts w:ascii="Calibri" w:hAnsi="Calibri" w:cs="Calibri"/>
          <w:b/>
          <w:sz w:val="20"/>
          <w:szCs w:val="20"/>
          <w:lang w:val="en-US"/>
        </w:rPr>
        <w:t>recommendations</w:t>
      </w:r>
      <w:r>
        <w:rPr>
          <w:rFonts w:ascii="Calibri" w:hAnsi="Calibri" w:cs="Calibri"/>
          <w:b/>
          <w:sz w:val="20"/>
          <w:szCs w:val="20"/>
          <w:lang w:val="en-US"/>
        </w:rPr>
        <w:t>.</w:t>
      </w:r>
    </w:p>
    <w:p w14:paraId="67A918E7" w14:textId="77777777" w:rsidR="00E206BC" w:rsidRPr="00B822FB" w:rsidRDefault="00E206BC" w:rsidP="00E206BC">
      <w:pPr>
        <w:rPr>
          <w:rFonts w:ascii="Calibri" w:hAnsi="Calibri" w:cs="Calibri"/>
          <w:sz w:val="20"/>
          <w:szCs w:val="20"/>
          <w:lang w:val="en-US"/>
        </w:rPr>
      </w:pPr>
    </w:p>
    <w:tbl>
      <w:tblPr>
        <w:tblStyle w:val="TableGrid"/>
        <w:tblW w:w="9776" w:type="dxa"/>
        <w:tblLook w:val="04A0" w:firstRow="1" w:lastRow="0" w:firstColumn="1" w:lastColumn="0" w:noHBand="0" w:noVBand="1"/>
      </w:tblPr>
      <w:tblGrid>
        <w:gridCol w:w="1838"/>
        <w:gridCol w:w="7938"/>
      </w:tblGrid>
      <w:tr w:rsidR="00E206BC" w:rsidRPr="00B822FB" w14:paraId="3D58C75E" w14:textId="77777777" w:rsidTr="00461309">
        <w:tc>
          <w:tcPr>
            <w:tcW w:w="1838" w:type="dxa"/>
            <w:shd w:val="clear" w:color="auto" w:fill="BDD6EE" w:themeFill="accent5" w:themeFillTint="66"/>
          </w:tcPr>
          <w:p w14:paraId="5D2D348D" w14:textId="77777777" w:rsidR="00E206BC" w:rsidRPr="00B822FB" w:rsidRDefault="00E206BC" w:rsidP="00461309">
            <w:pPr>
              <w:rPr>
                <w:rFonts w:ascii="Calibri" w:hAnsi="Calibri" w:cs="Calibri"/>
                <w:b/>
                <w:sz w:val="20"/>
                <w:szCs w:val="20"/>
                <w:lang w:val="en-US"/>
              </w:rPr>
            </w:pPr>
            <w:r w:rsidRPr="00B822FB">
              <w:rPr>
                <w:rFonts w:ascii="Calibri" w:hAnsi="Calibri" w:cs="Calibri"/>
                <w:b/>
                <w:sz w:val="20"/>
                <w:szCs w:val="20"/>
                <w:lang w:val="en-US"/>
              </w:rPr>
              <w:t>Issue</w:t>
            </w:r>
          </w:p>
        </w:tc>
        <w:tc>
          <w:tcPr>
            <w:tcW w:w="7938" w:type="dxa"/>
            <w:shd w:val="clear" w:color="auto" w:fill="BDD6EE" w:themeFill="accent5" w:themeFillTint="66"/>
          </w:tcPr>
          <w:p w14:paraId="2A45EEE0" w14:textId="77777777" w:rsidR="00E206BC" w:rsidRPr="00B822FB" w:rsidRDefault="00E206BC" w:rsidP="00461309">
            <w:pPr>
              <w:rPr>
                <w:rFonts w:ascii="Calibri" w:hAnsi="Calibri" w:cs="Calibri"/>
                <w:b/>
                <w:sz w:val="20"/>
                <w:szCs w:val="20"/>
                <w:lang w:val="en-US"/>
              </w:rPr>
            </w:pPr>
            <w:r w:rsidRPr="00B822FB">
              <w:rPr>
                <w:rFonts w:ascii="Calibri" w:hAnsi="Calibri" w:cs="Calibri"/>
                <w:b/>
                <w:sz w:val="20"/>
                <w:szCs w:val="20"/>
                <w:lang w:val="en-US"/>
              </w:rPr>
              <w:t>Recommendation</w:t>
            </w:r>
          </w:p>
          <w:p w14:paraId="57E9BF32" w14:textId="77777777" w:rsidR="00E206BC" w:rsidRPr="00B822FB" w:rsidRDefault="00E206BC" w:rsidP="00461309">
            <w:pPr>
              <w:rPr>
                <w:rFonts w:ascii="Calibri" w:hAnsi="Calibri" w:cs="Calibri"/>
                <w:b/>
                <w:sz w:val="20"/>
                <w:szCs w:val="20"/>
                <w:lang w:val="en-US"/>
              </w:rPr>
            </w:pPr>
          </w:p>
        </w:tc>
      </w:tr>
      <w:tr w:rsidR="00E206BC" w:rsidRPr="00B822FB" w14:paraId="274D3166" w14:textId="77777777" w:rsidTr="00461309">
        <w:tc>
          <w:tcPr>
            <w:tcW w:w="1838" w:type="dxa"/>
            <w:shd w:val="clear" w:color="auto" w:fill="FFF2CC" w:themeFill="accent4" w:themeFillTint="33"/>
          </w:tcPr>
          <w:p w14:paraId="11E531B3" w14:textId="0A17ACE8" w:rsidR="00E206BC" w:rsidRPr="00B822FB" w:rsidRDefault="00E17C6F" w:rsidP="00461309">
            <w:pPr>
              <w:rPr>
                <w:rFonts w:ascii="Calibri" w:hAnsi="Calibri" w:cs="Calibri"/>
                <w:b/>
                <w:sz w:val="20"/>
                <w:szCs w:val="20"/>
                <w:lang w:val="en-US"/>
              </w:rPr>
            </w:pPr>
            <w:r w:rsidRPr="00B822FB">
              <w:rPr>
                <w:rFonts w:ascii="Calibri" w:hAnsi="Calibri" w:cs="Calibri"/>
                <w:b/>
                <w:sz w:val="20"/>
                <w:szCs w:val="20"/>
                <w:lang w:val="en-US"/>
              </w:rPr>
              <w:t>Reference standards</w:t>
            </w:r>
          </w:p>
        </w:tc>
        <w:tc>
          <w:tcPr>
            <w:tcW w:w="7938" w:type="dxa"/>
          </w:tcPr>
          <w:p w14:paraId="29045C14" w14:textId="160787E1" w:rsidR="00E206BC" w:rsidRPr="00B822FB" w:rsidRDefault="009C5E8E" w:rsidP="00461309">
            <w:pPr>
              <w:rPr>
                <w:rFonts w:ascii="Calibri" w:hAnsi="Calibri" w:cs="Calibri"/>
                <w:sz w:val="20"/>
                <w:szCs w:val="20"/>
                <w:lang w:val="en-US"/>
              </w:rPr>
            </w:pPr>
            <w:r>
              <w:rPr>
                <w:rFonts w:ascii="Calibri" w:hAnsi="Calibri" w:cs="Calibri"/>
                <w:sz w:val="20"/>
                <w:szCs w:val="20"/>
                <w:lang w:val="en-US"/>
              </w:rPr>
              <w:t xml:space="preserve">In the absence of True calls and </w:t>
            </w:r>
            <w:r w:rsidRPr="00B822FB">
              <w:rPr>
                <w:rFonts w:ascii="Calibri" w:hAnsi="Calibri" w:cs="Calibri"/>
                <w:sz w:val="20"/>
                <w:szCs w:val="20"/>
                <w:lang w:val="en-US"/>
              </w:rPr>
              <w:t>reference sample</w:t>
            </w:r>
            <w:r>
              <w:rPr>
                <w:rFonts w:ascii="Calibri" w:hAnsi="Calibri" w:cs="Calibri"/>
                <w:sz w:val="20"/>
                <w:szCs w:val="20"/>
                <w:lang w:val="en-US"/>
              </w:rPr>
              <w:t xml:space="preserve">, </w:t>
            </w:r>
            <w:r w:rsidR="009E5EF5">
              <w:rPr>
                <w:rFonts w:ascii="Calibri" w:hAnsi="Calibri" w:cs="Calibri"/>
                <w:sz w:val="20"/>
                <w:szCs w:val="20"/>
                <w:lang w:val="en-US"/>
              </w:rPr>
              <w:t>measuring reproducibility is a</w:t>
            </w:r>
            <w:r w:rsidR="009F2DB3">
              <w:rPr>
                <w:rFonts w:ascii="Calibri" w:hAnsi="Calibri" w:cs="Calibri"/>
                <w:sz w:val="20"/>
                <w:szCs w:val="20"/>
                <w:lang w:val="en-US"/>
              </w:rPr>
              <w:t xml:space="preserve">n acceptable tool as a proxy </w:t>
            </w:r>
            <w:r w:rsidR="00DB6D1F">
              <w:rPr>
                <w:rFonts w:ascii="Calibri" w:hAnsi="Calibri" w:cs="Calibri"/>
                <w:sz w:val="20"/>
                <w:szCs w:val="20"/>
                <w:lang w:val="en-US"/>
              </w:rPr>
              <w:t xml:space="preserve">for performance. </w:t>
            </w:r>
            <w:r w:rsidR="0087587E">
              <w:rPr>
                <w:rFonts w:ascii="Calibri" w:hAnsi="Calibri" w:cs="Calibri"/>
                <w:sz w:val="20"/>
                <w:szCs w:val="20"/>
                <w:lang w:val="en-US"/>
              </w:rPr>
              <w:t xml:space="preserve">We have proposed an </w:t>
            </w:r>
            <w:r w:rsidR="0081772E">
              <w:rPr>
                <w:rFonts w:ascii="Calibri" w:hAnsi="Calibri" w:cs="Calibri"/>
                <w:sz w:val="20"/>
                <w:szCs w:val="20"/>
                <w:lang w:val="en-US"/>
              </w:rPr>
              <w:t>integrative approach to e</w:t>
            </w:r>
            <w:r w:rsidR="0081772E" w:rsidRPr="0081772E">
              <w:rPr>
                <w:rFonts w:ascii="Calibri" w:hAnsi="Calibri" w:cs="Calibri"/>
                <w:sz w:val="20"/>
                <w:szCs w:val="20"/>
                <w:lang w:val="en-US"/>
              </w:rPr>
              <w:t>stablish the reference CNV Call Set</w:t>
            </w:r>
            <w:r w:rsidR="0087587E">
              <w:rPr>
                <w:rFonts w:ascii="Calibri" w:hAnsi="Calibri" w:cs="Calibri"/>
                <w:sz w:val="20"/>
                <w:szCs w:val="20"/>
                <w:lang w:val="en-US"/>
              </w:rPr>
              <w:t xml:space="preserve"> </w:t>
            </w:r>
            <w:r w:rsidR="0081772E">
              <w:rPr>
                <w:rFonts w:ascii="Calibri" w:hAnsi="Calibri" w:cs="Calibri"/>
                <w:sz w:val="20"/>
                <w:szCs w:val="20"/>
                <w:lang w:val="en-US"/>
              </w:rPr>
              <w:t xml:space="preserve">that have been used in this study </w:t>
            </w:r>
            <w:r w:rsidR="00D339BA" w:rsidRPr="00D339BA">
              <w:rPr>
                <w:rFonts w:ascii="Calibri" w:hAnsi="Calibri" w:cs="Calibri"/>
                <w:sz w:val="20"/>
                <w:szCs w:val="20"/>
                <w:lang w:val="en-US"/>
              </w:rPr>
              <w:t>evaluate factors that affect the reproducibility, accuracy, and precision of CNV calling.</w:t>
            </w:r>
          </w:p>
        </w:tc>
      </w:tr>
      <w:tr w:rsidR="001009E5" w:rsidRPr="00B822FB" w14:paraId="27758117" w14:textId="77777777" w:rsidTr="00461309">
        <w:tc>
          <w:tcPr>
            <w:tcW w:w="1838" w:type="dxa"/>
            <w:shd w:val="clear" w:color="auto" w:fill="FFF2CC" w:themeFill="accent4" w:themeFillTint="33"/>
          </w:tcPr>
          <w:p w14:paraId="6C3DF9D5" w14:textId="5B633E94" w:rsidR="001009E5" w:rsidRPr="00B822FB" w:rsidRDefault="00F86266" w:rsidP="00461309">
            <w:pPr>
              <w:rPr>
                <w:rFonts w:ascii="Calibri" w:hAnsi="Calibri" w:cs="Calibri"/>
                <w:b/>
                <w:sz w:val="20"/>
                <w:szCs w:val="20"/>
                <w:lang w:val="en-US"/>
              </w:rPr>
            </w:pPr>
            <w:r>
              <w:rPr>
                <w:rFonts w:ascii="Calibri" w:hAnsi="Calibri" w:cs="Calibri"/>
                <w:b/>
                <w:sz w:val="20"/>
                <w:szCs w:val="20"/>
                <w:lang w:val="en-US"/>
              </w:rPr>
              <w:t xml:space="preserve">CNV </w:t>
            </w:r>
            <w:r w:rsidR="005A0971">
              <w:rPr>
                <w:rFonts w:ascii="Calibri" w:hAnsi="Calibri" w:cs="Calibri"/>
                <w:b/>
                <w:sz w:val="20"/>
                <w:szCs w:val="20"/>
                <w:lang w:val="en-US"/>
              </w:rPr>
              <w:t>calling variability</w:t>
            </w:r>
          </w:p>
        </w:tc>
        <w:tc>
          <w:tcPr>
            <w:tcW w:w="7938" w:type="dxa"/>
          </w:tcPr>
          <w:p w14:paraId="20A650C6" w14:textId="3C16F63A" w:rsidR="001009E5" w:rsidRDefault="009112FF" w:rsidP="009112FF">
            <w:pPr>
              <w:rPr>
                <w:rFonts w:ascii="Calibri" w:hAnsi="Calibri" w:cs="Calibri"/>
                <w:sz w:val="20"/>
                <w:szCs w:val="20"/>
                <w:lang w:val="en-US"/>
              </w:rPr>
            </w:pPr>
            <w:r>
              <w:rPr>
                <w:rFonts w:ascii="Calibri" w:hAnsi="Calibri" w:cs="Calibri"/>
                <w:sz w:val="20"/>
                <w:szCs w:val="20"/>
                <w:lang w:val="en-US"/>
              </w:rPr>
              <w:t>V</w:t>
            </w:r>
            <w:r w:rsidRPr="009112FF">
              <w:rPr>
                <w:rFonts w:ascii="Calibri" w:hAnsi="Calibri" w:cs="Calibri"/>
                <w:sz w:val="20"/>
                <w:szCs w:val="20"/>
                <w:lang w:val="en-US"/>
              </w:rPr>
              <w:t>ariability of CNV calls is dominated by CNV callers, to increase confidence, we recommend taking consensus calls across multiple callers (e.g. n=2 or 3) and using slightly more stringent cutoffs to call amplifications (e.g. CN&gt;3) and deletions (e.g. CN&lt;1.5 or CN&lt;1). However, taking consensus calls across too many callers (e.g. n&gt;=4) or using too stringent cutoffs (e.g. CN&gt;=4 for amplification and CN&lt;0.5 for deletion) may greatly increase false negatives or even decrease precision (e.g. CN&gt;7 for amplification in our analysis).</w:t>
            </w:r>
            <w:r>
              <w:rPr>
                <w:rFonts w:ascii="Calibri" w:hAnsi="Calibri" w:cs="Calibri"/>
                <w:sz w:val="20"/>
                <w:szCs w:val="20"/>
                <w:lang w:val="en-US"/>
              </w:rPr>
              <w:t xml:space="preserve"> </w:t>
            </w:r>
            <w:r w:rsidR="001009E5" w:rsidRPr="00F86266">
              <w:rPr>
                <w:rFonts w:ascii="Calibri" w:hAnsi="Calibri" w:cs="Calibri"/>
                <w:sz w:val="20"/>
                <w:szCs w:val="20"/>
                <w:lang w:val="en-US"/>
              </w:rPr>
              <w:t>We recommend that rather than using the reported CNs for downstream analysis, sorting CNV-affected regions into categories (such as amplification, deletion, and marginal) can reduce variation caused by unknown factors because the reported CNs could be unreliable especially for those regions with high CNs.</w:t>
            </w:r>
          </w:p>
        </w:tc>
      </w:tr>
      <w:tr w:rsidR="00E206BC" w:rsidRPr="00B822FB" w14:paraId="70F0069B" w14:textId="77777777" w:rsidTr="00461309">
        <w:tc>
          <w:tcPr>
            <w:tcW w:w="1838" w:type="dxa"/>
            <w:shd w:val="clear" w:color="auto" w:fill="FFF2CC" w:themeFill="accent4" w:themeFillTint="33"/>
          </w:tcPr>
          <w:p w14:paraId="0952F4D5" w14:textId="442ECFE7" w:rsidR="00E206BC" w:rsidRPr="00B822FB" w:rsidRDefault="003C6A2D" w:rsidP="00461309">
            <w:pPr>
              <w:rPr>
                <w:rFonts w:ascii="Calibri" w:hAnsi="Calibri" w:cs="Calibri"/>
                <w:b/>
                <w:sz w:val="20"/>
                <w:szCs w:val="20"/>
                <w:lang w:val="en-US"/>
              </w:rPr>
            </w:pPr>
            <w:r w:rsidRPr="00F86266">
              <w:rPr>
                <w:rFonts w:ascii="Calibri" w:hAnsi="Calibri" w:cs="Calibri"/>
                <w:b/>
                <w:sz w:val="20"/>
                <w:szCs w:val="20"/>
                <w:lang w:val="en-US"/>
              </w:rPr>
              <w:t>C</w:t>
            </w:r>
            <w:r w:rsidR="00A80B6C" w:rsidRPr="00F86266">
              <w:rPr>
                <w:rFonts w:ascii="Calibri" w:hAnsi="Calibri" w:cs="Calibri"/>
                <w:b/>
                <w:sz w:val="20"/>
                <w:szCs w:val="20"/>
                <w:lang w:val="en-US"/>
              </w:rPr>
              <w:t>onfounding</w:t>
            </w:r>
            <w:r w:rsidRPr="00F86266">
              <w:rPr>
                <w:rFonts w:ascii="Calibri" w:hAnsi="Calibri" w:cs="Calibri"/>
                <w:b/>
                <w:sz w:val="20"/>
                <w:szCs w:val="20"/>
                <w:lang w:val="en-US"/>
              </w:rPr>
              <w:t xml:space="preserve"> </w:t>
            </w:r>
            <w:r w:rsidR="00A80B6C" w:rsidRPr="00F86266">
              <w:rPr>
                <w:rFonts w:ascii="Calibri" w:hAnsi="Calibri" w:cs="Calibri"/>
                <w:b/>
                <w:sz w:val="20"/>
                <w:szCs w:val="20"/>
                <w:lang w:val="en-US"/>
              </w:rPr>
              <w:t>factor</w:t>
            </w:r>
            <w:r w:rsidRPr="00F86266">
              <w:rPr>
                <w:rFonts w:ascii="Calibri" w:hAnsi="Calibri" w:cs="Calibri"/>
                <w:b/>
                <w:sz w:val="20"/>
                <w:szCs w:val="20"/>
                <w:lang w:val="en-US"/>
              </w:rPr>
              <w:t xml:space="preserve"> </w:t>
            </w:r>
          </w:p>
        </w:tc>
        <w:tc>
          <w:tcPr>
            <w:tcW w:w="7938" w:type="dxa"/>
          </w:tcPr>
          <w:p w14:paraId="36DA54B2" w14:textId="21239B21" w:rsidR="00E206BC" w:rsidRPr="00F86266" w:rsidRDefault="00A146B7" w:rsidP="00461309">
            <w:pPr>
              <w:rPr>
                <w:rFonts w:ascii="Calibri" w:hAnsi="Calibri" w:cs="Calibri"/>
                <w:sz w:val="20"/>
                <w:szCs w:val="20"/>
                <w:lang w:val="en-US"/>
              </w:rPr>
            </w:pPr>
            <w:r w:rsidRPr="00F86266">
              <w:rPr>
                <w:rFonts w:ascii="Calibri" w:hAnsi="Calibri" w:cs="Calibri"/>
                <w:sz w:val="20"/>
                <w:szCs w:val="20"/>
                <w:lang w:val="en-US"/>
              </w:rPr>
              <w:t xml:space="preserve">Reproducibility of CNV detection is affected by experimental and technical confounding factors including impure tumor samples, FFPE-processed (versus fresh) samples, low input DNA amount, WES (versus WGS), and low sequencing coverage as well as sources of variability such as sequencing sites and CNV callers. </w:t>
            </w:r>
            <w:r w:rsidR="00471FC4" w:rsidRPr="00F86266">
              <w:rPr>
                <w:rFonts w:ascii="Calibri" w:hAnsi="Calibri" w:cs="Calibri"/>
                <w:sz w:val="20"/>
                <w:szCs w:val="20"/>
                <w:lang w:val="en-US"/>
              </w:rPr>
              <w:t>When no confounding factor was involved, the variability of CNV calls was mainly due to callers.</w:t>
            </w:r>
          </w:p>
        </w:tc>
      </w:tr>
      <w:tr w:rsidR="00E206BC" w:rsidRPr="00B822FB" w14:paraId="69CD73B3" w14:textId="77777777" w:rsidTr="00461309">
        <w:tc>
          <w:tcPr>
            <w:tcW w:w="1838" w:type="dxa"/>
            <w:shd w:val="clear" w:color="auto" w:fill="FFF2CC" w:themeFill="accent4" w:themeFillTint="33"/>
          </w:tcPr>
          <w:p w14:paraId="2EFF86FF" w14:textId="5B6C6544" w:rsidR="00E206BC" w:rsidRPr="00B822FB" w:rsidRDefault="00ED29CD" w:rsidP="00461309">
            <w:pPr>
              <w:rPr>
                <w:rFonts w:ascii="Calibri" w:hAnsi="Calibri" w:cs="Calibri"/>
                <w:b/>
                <w:sz w:val="20"/>
                <w:szCs w:val="20"/>
                <w:lang w:val="en-US"/>
              </w:rPr>
            </w:pPr>
            <w:r w:rsidRPr="00ED29CD">
              <w:rPr>
                <w:rFonts w:ascii="Calibri" w:hAnsi="Calibri" w:cs="Calibri"/>
                <w:b/>
                <w:sz w:val="20"/>
                <w:szCs w:val="20"/>
                <w:lang w:val="en-US"/>
              </w:rPr>
              <w:t>Prediction of Tumor Content</w:t>
            </w:r>
          </w:p>
        </w:tc>
        <w:tc>
          <w:tcPr>
            <w:tcW w:w="7938" w:type="dxa"/>
          </w:tcPr>
          <w:p w14:paraId="1507DD9C" w14:textId="3CA19144" w:rsidR="00E206BC" w:rsidRPr="003A6698" w:rsidRDefault="003A6698" w:rsidP="00461309">
            <w:pPr>
              <w:rPr>
                <w:rFonts w:ascii="Calibri" w:hAnsi="Calibri" w:cs="Calibri"/>
                <w:sz w:val="20"/>
                <w:szCs w:val="20"/>
                <w:lang w:val="en-US"/>
              </w:rPr>
            </w:pPr>
            <w:r w:rsidRPr="003A6698">
              <w:rPr>
                <w:rFonts w:ascii="Calibri" w:hAnsi="Calibri" w:cs="Calibri"/>
                <w:sz w:val="20"/>
                <w:szCs w:val="20"/>
                <w:lang w:val="en-US"/>
              </w:rPr>
              <w:t>Tumor</w:t>
            </w:r>
            <w:r>
              <w:rPr>
                <w:rFonts w:ascii="Calibri" w:hAnsi="Calibri" w:cs="Calibri"/>
                <w:sz w:val="20"/>
                <w:szCs w:val="20"/>
                <w:lang w:val="en-US"/>
              </w:rPr>
              <w:t xml:space="preserve"> </w:t>
            </w:r>
            <w:r w:rsidRPr="003A6698">
              <w:rPr>
                <w:rFonts w:ascii="Calibri" w:hAnsi="Calibri" w:cs="Calibri"/>
                <w:sz w:val="20"/>
                <w:szCs w:val="20"/>
                <w:lang w:val="en-US"/>
              </w:rPr>
              <w:t>purity greatly affected CNV calling by missing most calls, lowering (increasing) CNs for amplification (deletion) calls, and producing incorrect deletion calls.</w:t>
            </w:r>
            <w:r w:rsidR="001164A0">
              <w:rPr>
                <w:rFonts w:ascii="Calibri" w:hAnsi="Calibri" w:cs="Calibri"/>
                <w:sz w:val="20"/>
                <w:szCs w:val="20"/>
                <w:lang w:val="en-US"/>
              </w:rPr>
              <w:t xml:space="preserve"> </w:t>
            </w:r>
            <w:r w:rsidR="001164A0" w:rsidRPr="00F86266">
              <w:rPr>
                <w:rFonts w:ascii="Calibri" w:hAnsi="Calibri" w:cs="Calibri"/>
                <w:sz w:val="20"/>
                <w:szCs w:val="20"/>
                <w:lang w:val="en-US"/>
              </w:rPr>
              <w:t>Low tumor purity (&lt;= 20%) was the major confounding factor, making purity estimation unreliable</w:t>
            </w:r>
          </w:p>
        </w:tc>
      </w:tr>
      <w:tr w:rsidR="00E206BC" w:rsidRPr="00B822FB" w14:paraId="3454DEDD" w14:textId="77777777" w:rsidTr="00461309">
        <w:tc>
          <w:tcPr>
            <w:tcW w:w="1838" w:type="dxa"/>
            <w:shd w:val="clear" w:color="auto" w:fill="FFF2CC" w:themeFill="accent4" w:themeFillTint="33"/>
          </w:tcPr>
          <w:p w14:paraId="09DC858E" w14:textId="13AA98BD" w:rsidR="00E206BC" w:rsidRPr="00B822FB" w:rsidRDefault="00B94D13" w:rsidP="00461309">
            <w:pPr>
              <w:rPr>
                <w:rFonts w:ascii="Calibri" w:hAnsi="Calibri" w:cs="Calibri"/>
                <w:b/>
                <w:sz w:val="20"/>
                <w:szCs w:val="20"/>
                <w:lang w:val="en-US"/>
              </w:rPr>
            </w:pPr>
            <w:r>
              <w:rPr>
                <w:rFonts w:ascii="Calibri" w:hAnsi="Calibri" w:cs="Calibri"/>
                <w:b/>
                <w:sz w:val="20"/>
                <w:szCs w:val="20"/>
                <w:lang w:val="en-US"/>
              </w:rPr>
              <w:t>FFPE vs Fresh</w:t>
            </w:r>
          </w:p>
        </w:tc>
        <w:tc>
          <w:tcPr>
            <w:tcW w:w="7938" w:type="dxa"/>
          </w:tcPr>
          <w:p w14:paraId="47020A60" w14:textId="57E2A2D1" w:rsidR="00E206BC" w:rsidRPr="003A6698" w:rsidRDefault="000B7199" w:rsidP="003A6698">
            <w:pPr>
              <w:rPr>
                <w:rFonts w:ascii="Calibri" w:hAnsi="Calibri" w:cs="Calibri"/>
                <w:sz w:val="20"/>
                <w:szCs w:val="20"/>
                <w:lang w:val="en-US"/>
              </w:rPr>
            </w:pPr>
            <w:r w:rsidRPr="000B7199">
              <w:rPr>
                <w:rFonts w:ascii="Calibri" w:hAnsi="Calibri" w:cs="Calibri"/>
                <w:sz w:val="20"/>
                <w:szCs w:val="20"/>
                <w:lang w:val="en-US"/>
              </w:rPr>
              <w:t>FFPE-processed samples increased variability and lowered precision of CNV calls.</w:t>
            </w:r>
            <w:r w:rsidR="00646791">
              <w:rPr>
                <w:rFonts w:ascii="Calibri" w:hAnsi="Calibri" w:cs="Calibri"/>
                <w:sz w:val="20"/>
                <w:szCs w:val="20"/>
                <w:lang w:val="en-US"/>
              </w:rPr>
              <w:t xml:space="preserve"> </w:t>
            </w:r>
            <w:r w:rsidR="0093330E">
              <w:rPr>
                <w:rFonts w:ascii="Calibri" w:hAnsi="Calibri" w:cs="Calibri"/>
                <w:sz w:val="20"/>
                <w:szCs w:val="20"/>
                <w:lang w:val="en-US"/>
              </w:rPr>
              <w:t>P</w:t>
            </w:r>
            <w:r w:rsidR="00646791" w:rsidRPr="00646791">
              <w:rPr>
                <w:rFonts w:ascii="Calibri" w:hAnsi="Calibri" w:cs="Calibri"/>
                <w:sz w:val="20"/>
                <w:szCs w:val="20"/>
                <w:lang w:val="en-US"/>
              </w:rPr>
              <w:t>reparing fresh samples followed by WGS is preferred but ensuring high tumor purity is critical to have reliable CNV calls.</w:t>
            </w:r>
          </w:p>
        </w:tc>
      </w:tr>
      <w:tr w:rsidR="000B7199" w:rsidRPr="00B822FB" w14:paraId="3C7C3997" w14:textId="77777777" w:rsidTr="00461309">
        <w:tc>
          <w:tcPr>
            <w:tcW w:w="1838" w:type="dxa"/>
            <w:shd w:val="clear" w:color="auto" w:fill="FFF2CC" w:themeFill="accent4" w:themeFillTint="33"/>
          </w:tcPr>
          <w:p w14:paraId="6E1D5447" w14:textId="0217AB58" w:rsidR="000B7199" w:rsidRPr="00B822FB" w:rsidRDefault="00B94D13" w:rsidP="00461309">
            <w:pPr>
              <w:rPr>
                <w:rFonts w:ascii="Calibri" w:hAnsi="Calibri" w:cs="Calibri"/>
                <w:b/>
                <w:sz w:val="20"/>
                <w:szCs w:val="20"/>
                <w:lang w:val="en-US"/>
              </w:rPr>
            </w:pPr>
            <w:r>
              <w:rPr>
                <w:rFonts w:ascii="Calibri" w:hAnsi="Calibri" w:cs="Calibri"/>
                <w:b/>
                <w:sz w:val="20"/>
                <w:szCs w:val="20"/>
                <w:lang w:val="en-US"/>
              </w:rPr>
              <w:t>WES vs WGS</w:t>
            </w:r>
          </w:p>
        </w:tc>
        <w:tc>
          <w:tcPr>
            <w:tcW w:w="7938" w:type="dxa"/>
          </w:tcPr>
          <w:p w14:paraId="76372465" w14:textId="4FAD54B4" w:rsidR="000B7199" w:rsidRPr="000B7199" w:rsidRDefault="003D34DD" w:rsidP="003A6698">
            <w:pPr>
              <w:rPr>
                <w:rFonts w:ascii="Calibri" w:hAnsi="Calibri" w:cs="Calibri"/>
                <w:sz w:val="20"/>
                <w:szCs w:val="20"/>
                <w:lang w:val="en-US"/>
              </w:rPr>
            </w:pPr>
            <w:r w:rsidRPr="003D34DD">
              <w:rPr>
                <w:rFonts w:ascii="Calibri" w:hAnsi="Calibri" w:cs="Calibri"/>
                <w:sz w:val="20"/>
                <w:szCs w:val="20"/>
                <w:lang w:val="en-US"/>
              </w:rPr>
              <w:t>WES affected CNV calls by increasing variability, missing or producing incorrect calls depending on callers, and lowering the precision of deletion calls.</w:t>
            </w:r>
          </w:p>
        </w:tc>
      </w:tr>
      <w:tr w:rsidR="003D34DD" w:rsidRPr="00B822FB" w14:paraId="19102B2E" w14:textId="77777777" w:rsidTr="00461309">
        <w:tc>
          <w:tcPr>
            <w:tcW w:w="1838" w:type="dxa"/>
            <w:shd w:val="clear" w:color="auto" w:fill="FFF2CC" w:themeFill="accent4" w:themeFillTint="33"/>
          </w:tcPr>
          <w:p w14:paraId="41C2CFD8" w14:textId="4D96578D" w:rsidR="003D34DD" w:rsidRPr="00B822FB" w:rsidRDefault="0076463A" w:rsidP="00461309">
            <w:pPr>
              <w:rPr>
                <w:rFonts w:ascii="Calibri" w:hAnsi="Calibri" w:cs="Calibri"/>
                <w:b/>
                <w:sz w:val="20"/>
                <w:szCs w:val="20"/>
                <w:lang w:val="en-US"/>
              </w:rPr>
            </w:pPr>
            <w:r>
              <w:rPr>
                <w:rFonts w:ascii="Calibri" w:hAnsi="Calibri" w:cs="Calibri"/>
                <w:b/>
                <w:sz w:val="20"/>
                <w:szCs w:val="20"/>
                <w:lang w:val="en-US"/>
              </w:rPr>
              <w:t>Input DNA and Coverage</w:t>
            </w:r>
          </w:p>
        </w:tc>
        <w:tc>
          <w:tcPr>
            <w:tcW w:w="7938" w:type="dxa"/>
          </w:tcPr>
          <w:p w14:paraId="69AC7BA4" w14:textId="1570A0A6" w:rsidR="003D34DD" w:rsidRPr="003D34DD" w:rsidRDefault="009B768F" w:rsidP="003A6698">
            <w:pPr>
              <w:rPr>
                <w:rFonts w:ascii="Calibri" w:hAnsi="Calibri" w:cs="Calibri"/>
                <w:sz w:val="20"/>
                <w:szCs w:val="20"/>
                <w:lang w:val="en-US"/>
              </w:rPr>
            </w:pPr>
            <w:r w:rsidRPr="009B768F">
              <w:rPr>
                <w:rFonts w:ascii="Calibri" w:hAnsi="Calibri" w:cs="Calibri"/>
                <w:sz w:val="20"/>
                <w:szCs w:val="20"/>
                <w:lang w:val="en-US"/>
              </w:rPr>
              <w:t xml:space="preserve">Effects of low input DNA amount and low coverage </w:t>
            </w:r>
            <w:r w:rsidR="006E44B0">
              <w:rPr>
                <w:rFonts w:ascii="Calibri" w:hAnsi="Calibri" w:cs="Calibri"/>
                <w:sz w:val="20"/>
                <w:szCs w:val="20"/>
                <w:lang w:val="en-US"/>
              </w:rPr>
              <w:t xml:space="preserve">are important but </w:t>
            </w:r>
            <w:r w:rsidRPr="009B768F">
              <w:rPr>
                <w:rFonts w:ascii="Calibri" w:hAnsi="Calibri" w:cs="Calibri"/>
                <w:sz w:val="20"/>
                <w:szCs w:val="20"/>
                <w:lang w:val="en-US"/>
              </w:rPr>
              <w:t>were relatively minor</w:t>
            </w:r>
            <w:r w:rsidR="006E44B0">
              <w:rPr>
                <w:rFonts w:ascii="Calibri" w:hAnsi="Calibri" w:cs="Calibri"/>
                <w:sz w:val="20"/>
                <w:szCs w:val="20"/>
                <w:lang w:val="en-US"/>
              </w:rPr>
              <w:t xml:space="preserve"> comparing to tumor purity and caller variation</w:t>
            </w:r>
            <w:r w:rsidRPr="009B768F">
              <w:rPr>
                <w:rFonts w:ascii="Calibri" w:hAnsi="Calibri" w:cs="Calibri"/>
                <w:sz w:val="20"/>
                <w:szCs w:val="20"/>
                <w:lang w:val="en-US"/>
              </w:rPr>
              <w:t>.</w:t>
            </w:r>
          </w:p>
        </w:tc>
      </w:tr>
      <w:tr w:rsidR="00361C8B" w:rsidRPr="00B822FB" w14:paraId="36A98A74" w14:textId="77777777" w:rsidTr="00461309">
        <w:tc>
          <w:tcPr>
            <w:tcW w:w="1838" w:type="dxa"/>
            <w:shd w:val="clear" w:color="auto" w:fill="FFF2CC" w:themeFill="accent4" w:themeFillTint="33"/>
          </w:tcPr>
          <w:p w14:paraId="786B0A25" w14:textId="162DDA87" w:rsidR="00361C8B" w:rsidRPr="00B822FB" w:rsidRDefault="00361C8B" w:rsidP="00461309">
            <w:pPr>
              <w:rPr>
                <w:rFonts w:ascii="Calibri" w:hAnsi="Calibri" w:cs="Calibri"/>
                <w:b/>
                <w:sz w:val="20"/>
                <w:szCs w:val="20"/>
                <w:lang w:val="en-US"/>
              </w:rPr>
            </w:pPr>
            <w:r w:rsidRPr="00361C8B">
              <w:rPr>
                <w:rFonts w:ascii="Calibri" w:hAnsi="Calibri" w:cs="Calibri"/>
                <w:b/>
                <w:sz w:val="20"/>
                <w:szCs w:val="20"/>
                <w:lang w:val="en-US"/>
              </w:rPr>
              <w:t>Precision of CNV Calling</w:t>
            </w:r>
          </w:p>
        </w:tc>
        <w:tc>
          <w:tcPr>
            <w:tcW w:w="7938" w:type="dxa"/>
          </w:tcPr>
          <w:p w14:paraId="3D7117C4" w14:textId="5020EBCE" w:rsidR="00361C8B" w:rsidRPr="009B768F" w:rsidRDefault="007621D9" w:rsidP="003A6698">
            <w:pPr>
              <w:rPr>
                <w:rFonts w:ascii="Calibri" w:hAnsi="Calibri" w:cs="Calibri"/>
                <w:sz w:val="20"/>
                <w:szCs w:val="20"/>
                <w:lang w:val="en-US"/>
              </w:rPr>
            </w:pPr>
            <w:r w:rsidRPr="004B2AB3">
              <w:rPr>
                <w:rFonts w:ascii="Calibri" w:hAnsi="Calibri" w:cs="Calibri"/>
                <w:sz w:val="20"/>
                <w:szCs w:val="20"/>
                <w:lang w:val="en-US"/>
              </w:rPr>
              <w:t>W</w:t>
            </w:r>
            <w:r w:rsidR="004B2AB3" w:rsidRPr="004B2AB3">
              <w:rPr>
                <w:rFonts w:ascii="Calibri" w:hAnsi="Calibri" w:cs="Calibri"/>
                <w:sz w:val="20"/>
                <w:szCs w:val="20"/>
                <w:lang w:val="en-US"/>
              </w:rPr>
              <w:t>e</w:t>
            </w:r>
            <w:r>
              <w:rPr>
                <w:rFonts w:ascii="Calibri" w:hAnsi="Calibri" w:cs="Calibri"/>
                <w:sz w:val="20"/>
                <w:szCs w:val="20"/>
                <w:lang w:val="en-US"/>
              </w:rPr>
              <w:t xml:space="preserve"> </w:t>
            </w:r>
            <w:r w:rsidR="004B2AB3" w:rsidRPr="004B2AB3">
              <w:rPr>
                <w:rFonts w:ascii="Calibri" w:hAnsi="Calibri" w:cs="Calibri"/>
                <w:sz w:val="20"/>
                <w:szCs w:val="20"/>
                <w:lang w:val="en-US"/>
              </w:rPr>
              <w:t>investigated if CNVs called by more than one caller (n&gt;1; i.e. n=2, 3, 4, 5, or all 6 callers) would achieve higher precision</w:t>
            </w:r>
            <w:r w:rsidR="000C10F6">
              <w:rPr>
                <w:rFonts w:ascii="Calibri" w:hAnsi="Calibri" w:cs="Calibri"/>
                <w:sz w:val="20"/>
                <w:szCs w:val="20"/>
                <w:lang w:val="en-US"/>
              </w:rPr>
              <w:t xml:space="preserve"> and</w:t>
            </w:r>
            <w:r>
              <w:rPr>
                <w:rFonts w:ascii="Calibri" w:hAnsi="Calibri" w:cs="Calibri"/>
                <w:sz w:val="20"/>
                <w:szCs w:val="20"/>
                <w:lang w:val="en-US"/>
              </w:rPr>
              <w:t xml:space="preserve"> </w:t>
            </w:r>
            <w:r w:rsidRPr="007621D9">
              <w:rPr>
                <w:rFonts w:ascii="Calibri" w:hAnsi="Calibri" w:cs="Calibri"/>
                <w:sz w:val="20"/>
                <w:szCs w:val="20"/>
                <w:lang w:val="en-US"/>
              </w:rPr>
              <w:t>observed that precision went higher when taking consensus calls across 2 callers regardless of the influences of confounding factors. However, taking consensus calls across more callers would lower sensitivity and, thus, might lower the F1 score as precision increased</w:t>
            </w:r>
            <w:r w:rsidR="00C67B52">
              <w:rPr>
                <w:rFonts w:ascii="Calibri" w:hAnsi="Calibri" w:cs="Calibri"/>
                <w:sz w:val="20"/>
                <w:szCs w:val="20"/>
                <w:lang w:val="en-US"/>
              </w:rPr>
              <w:t>.</w:t>
            </w:r>
            <w:r w:rsidR="00611B5D">
              <w:rPr>
                <w:rFonts w:ascii="Calibri" w:hAnsi="Calibri" w:cs="Calibri"/>
                <w:sz w:val="20"/>
                <w:szCs w:val="20"/>
                <w:lang w:val="en-US"/>
              </w:rPr>
              <w:t xml:space="preserve"> </w:t>
            </w:r>
            <w:r w:rsidR="00611B5D" w:rsidRPr="00611B5D">
              <w:rPr>
                <w:rFonts w:ascii="Calibri" w:hAnsi="Calibri" w:cs="Calibri"/>
                <w:sz w:val="20"/>
                <w:szCs w:val="20"/>
                <w:lang w:val="en-US"/>
              </w:rPr>
              <w:t>If tumor purity is less than 50%, we recommend interpreting deletions cautiously because they could be either marginal or amplification.</w:t>
            </w:r>
          </w:p>
        </w:tc>
      </w:tr>
      <w:tr w:rsidR="002E618A" w:rsidRPr="00B822FB" w14:paraId="171B1E9B" w14:textId="77777777" w:rsidTr="00461309">
        <w:tc>
          <w:tcPr>
            <w:tcW w:w="1838" w:type="dxa"/>
            <w:shd w:val="clear" w:color="auto" w:fill="FFF2CC" w:themeFill="accent4" w:themeFillTint="33"/>
          </w:tcPr>
          <w:p w14:paraId="4EBFD432" w14:textId="335DF503" w:rsidR="002E618A" w:rsidRPr="00361C8B" w:rsidRDefault="003755E0" w:rsidP="00461309">
            <w:pPr>
              <w:rPr>
                <w:rFonts w:ascii="Calibri" w:hAnsi="Calibri" w:cs="Calibri"/>
                <w:b/>
                <w:sz w:val="20"/>
                <w:szCs w:val="20"/>
                <w:lang w:val="en-US"/>
              </w:rPr>
            </w:pPr>
            <w:r>
              <w:rPr>
                <w:rFonts w:ascii="Calibri" w:hAnsi="Calibri" w:cs="Calibri"/>
                <w:b/>
                <w:sz w:val="20"/>
                <w:szCs w:val="20"/>
                <w:lang w:val="en-US"/>
              </w:rPr>
              <w:t>Validation of CNV calls</w:t>
            </w:r>
            <w:r w:rsidR="002E618A">
              <w:rPr>
                <w:rFonts w:ascii="Calibri" w:hAnsi="Calibri" w:cs="Calibri"/>
                <w:b/>
                <w:sz w:val="20"/>
                <w:szCs w:val="20"/>
                <w:lang w:val="en-US"/>
              </w:rPr>
              <w:t xml:space="preserve"> </w:t>
            </w:r>
          </w:p>
        </w:tc>
        <w:tc>
          <w:tcPr>
            <w:tcW w:w="7938" w:type="dxa"/>
          </w:tcPr>
          <w:p w14:paraId="303C5F27" w14:textId="1EB3D0C8" w:rsidR="002E618A" w:rsidRPr="004B2AB3" w:rsidRDefault="007D06F2" w:rsidP="003A6698">
            <w:pPr>
              <w:rPr>
                <w:rFonts w:ascii="Calibri" w:hAnsi="Calibri" w:cs="Calibri"/>
                <w:sz w:val="20"/>
                <w:szCs w:val="20"/>
                <w:lang w:val="en-US"/>
              </w:rPr>
            </w:pPr>
            <w:r w:rsidRPr="007D06F2">
              <w:rPr>
                <w:rFonts w:ascii="Calibri" w:hAnsi="Calibri" w:cs="Calibri"/>
                <w:sz w:val="20"/>
                <w:szCs w:val="20"/>
                <w:lang w:val="en-US"/>
              </w:rPr>
              <w:t xml:space="preserve">Although method evaluation studies often report the best method as their final conclusion, picking such caller for somatic CNV calling seems currently </w:t>
            </w:r>
            <w:r w:rsidR="003050BC">
              <w:rPr>
                <w:rFonts w:ascii="Calibri" w:hAnsi="Calibri" w:cs="Calibri"/>
                <w:sz w:val="20"/>
                <w:szCs w:val="20"/>
                <w:lang w:val="en-US"/>
              </w:rPr>
              <w:t>imperfect.</w:t>
            </w:r>
            <w:r w:rsidRPr="007D06F2">
              <w:rPr>
                <w:rFonts w:ascii="Calibri" w:hAnsi="Calibri" w:cs="Calibri"/>
                <w:sz w:val="20"/>
                <w:szCs w:val="20"/>
                <w:lang w:val="en-US"/>
              </w:rPr>
              <w:t xml:space="preserve"> </w:t>
            </w:r>
            <w:r w:rsidR="002E618A" w:rsidRPr="002E618A">
              <w:rPr>
                <w:rFonts w:ascii="Calibri" w:hAnsi="Calibri" w:cs="Calibri"/>
                <w:sz w:val="20"/>
                <w:szCs w:val="20"/>
                <w:lang w:val="en-US"/>
              </w:rPr>
              <w:t>Given</w:t>
            </w:r>
            <w:r w:rsidR="002E618A">
              <w:rPr>
                <w:rFonts w:ascii="Calibri" w:hAnsi="Calibri" w:cs="Calibri"/>
                <w:sz w:val="20"/>
                <w:szCs w:val="20"/>
                <w:lang w:val="en-US"/>
              </w:rPr>
              <w:t xml:space="preserve"> </w:t>
            </w:r>
            <w:r w:rsidR="002E618A" w:rsidRPr="002E618A">
              <w:rPr>
                <w:rFonts w:ascii="Calibri" w:hAnsi="Calibri" w:cs="Calibri"/>
                <w:sz w:val="20"/>
                <w:szCs w:val="20"/>
                <w:lang w:val="en-US"/>
              </w:rPr>
              <w:t>the high variability of CNV calls, in addition to the approaches mentioned above, we recommend validating important CNV findings in replicates or independent datasets or gaining support from other evidences such as FISH and differential expression of affected genes</w:t>
            </w:r>
          </w:p>
        </w:tc>
      </w:tr>
    </w:tbl>
    <w:p w14:paraId="2BBE65B8" w14:textId="4EA7CA96" w:rsidR="00C40792" w:rsidRDefault="00C40792" w:rsidP="00E206BC"/>
    <w:p w14:paraId="1613C3F9" w14:textId="77777777" w:rsidR="00E17C6F" w:rsidRDefault="00E17C6F" w:rsidP="00E206BC"/>
    <w:p w14:paraId="0269FA22" w14:textId="77777777" w:rsidR="00E17C6F" w:rsidRDefault="00E17C6F" w:rsidP="00E206BC"/>
    <w:sectPr w:rsidR="00E17C6F" w:rsidSect="00A3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BC"/>
    <w:rsid w:val="00031D65"/>
    <w:rsid w:val="000B7199"/>
    <w:rsid w:val="000C10F6"/>
    <w:rsid w:val="001009E5"/>
    <w:rsid w:val="00107D3D"/>
    <w:rsid w:val="001164A0"/>
    <w:rsid w:val="001B6EDA"/>
    <w:rsid w:val="001D7BDF"/>
    <w:rsid w:val="002E618A"/>
    <w:rsid w:val="003050BC"/>
    <w:rsid w:val="0030536D"/>
    <w:rsid w:val="003066C2"/>
    <w:rsid w:val="00361C8B"/>
    <w:rsid w:val="003755E0"/>
    <w:rsid w:val="003A6698"/>
    <w:rsid w:val="003C6A2D"/>
    <w:rsid w:val="003D34DD"/>
    <w:rsid w:val="00420F83"/>
    <w:rsid w:val="00471FC4"/>
    <w:rsid w:val="004834A6"/>
    <w:rsid w:val="004B2AB3"/>
    <w:rsid w:val="00503A45"/>
    <w:rsid w:val="005204EE"/>
    <w:rsid w:val="00552055"/>
    <w:rsid w:val="0056296A"/>
    <w:rsid w:val="005A0971"/>
    <w:rsid w:val="00611B5D"/>
    <w:rsid w:val="00646791"/>
    <w:rsid w:val="00665E28"/>
    <w:rsid w:val="006E00F9"/>
    <w:rsid w:val="006E44B0"/>
    <w:rsid w:val="007621D9"/>
    <w:rsid w:val="0076463A"/>
    <w:rsid w:val="007B5624"/>
    <w:rsid w:val="007D06F2"/>
    <w:rsid w:val="0081772E"/>
    <w:rsid w:val="0087587E"/>
    <w:rsid w:val="00887D3B"/>
    <w:rsid w:val="008D07B1"/>
    <w:rsid w:val="008D17DE"/>
    <w:rsid w:val="009112FF"/>
    <w:rsid w:val="0093330E"/>
    <w:rsid w:val="009B768F"/>
    <w:rsid w:val="009C5E8E"/>
    <w:rsid w:val="009E5EF5"/>
    <w:rsid w:val="009F2DB3"/>
    <w:rsid w:val="00A02E78"/>
    <w:rsid w:val="00A146B7"/>
    <w:rsid w:val="00A30AA1"/>
    <w:rsid w:val="00A80B6C"/>
    <w:rsid w:val="00B15DE3"/>
    <w:rsid w:val="00B94D13"/>
    <w:rsid w:val="00C40792"/>
    <w:rsid w:val="00C67B52"/>
    <w:rsid w:val="00D339BA"/>
    <w:rsid w:val="00D413C6"/>
    <w:rsid w:val="00D60960"/>
    <w:rsid w:val="00DA5320"/>
    <w:rsid w:val="00DB6D1F"/>
    <w:rsid w:val="00DC3871"/>
    <w:rsid w:val="00DC736B"/>
    <w:rsid w:val="00DF2C67"/>
    <w:rsid w:val="00DF4293"/>
    <w:rsid w:val="00E17C6F"/>
    <w:rsid w:val="00E206BC"/>
    <w:rsid w:val="00ED29CD"/>
    <w:rsid w:val="00F336D4"/>
    <w:rsid w:val="00F86266"/>
    <w:rsid w:val="00FB79B8"/>
    <w:rsid w:val="00FC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F34C2"/>
  <w15:chartTrackingRefBased/>
  <w15:docId w15:val="{E38B9D74-528A-644F-9FC4-55BD7B3E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BC"/>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6BC"/>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3A45"/>
    <w:rPr>
      <w:sz w:val="18"/>
      <w:szCs w:val="18"/>
    </w:rPr>
  </w:style>
  <w:style w:type="character" w:customStyle="1" w:styleId="BalloonTextChar">
    <w:name w:val="Balloon Text Char"/>
    <w:basedOn w:val="DefaultParagraphFont"/>
    <w:link w:val="BalloonText"/>
    <w:uiPriority w:val="99"/>
    <w:semiHidden/>
    <w:rsid w:val="00503A45"/>
    <w:rPr>
      <w:rFonts w:ascii="Times New Roman" w:eastAsia="Times New Roman" w:hAnsi="Times New Roman" w:cs="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495</Words>
  <Characters>3096</Characters>
  <Application>Microsoft Office Word</Application>
  <DocSecurity>0</DocSecurity>
  <Lines>81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Pirooznia, Mehdi (NIH/NHLBI) [E]</dc:creator>
  <cp:keywords/>
  <dc:description/>
  <cp:lastModifiedBy>Pirooznia, Mehdi (NIH/NHLBI) [E]</cp:lastModifiedBy>
  <cp:revision>43</cp:revision>
  <dcterms:created xsi:type="dcterms:W3CDTF">2020-05-01T00:52:00Z</dcterms:created>
  <dcterms:modified xsi:type="dcterms:W3CDTF">2020-06-27T16:56:00Z</dcterms:modified>
</cp:coreProperties>
</file>