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Korvane Cold Chain Sp. z o.o. — Travel and Expense Policy</w:t>
      </w:r>
    </w:p>
    <w:p>
      <w:r>
        <w:t>Document ID FIN-POL-007 · Version 3.1 · Owner: Finance (Priya Venkataraman-Holt, CFO) · Co-owner: People &amp; Culture (Ines Baptista-Okafor)</w:t>
      </w:r>
    </w:p>
    <w:p>
      <w:r>
        <w:t>Effective 1 July 2024. Approved by the Board on 28 June 2024 (resolution BR-2024-06-04). This version supersedes version 2.4, which was effective from 1 January 2022 and is withdrawn on the date above; claims for trips ending before 1 July 2024 continue to be settled under version 2.4.</w:t>
      </w:r>
    </w:p>
    <w:p>
      <w:pPr>
        <w:pStyle w:val="Heading2"/>
      </w:pPr>
      <w:r>
        <w:t>1 Purpose and scope</w:t>
      </w:r>
    </w:p>
    <w:p>
      <w:r>
        <w:t>1.1 This policy sets out when and how employees of Korvane Cold Chain Sp. z o.o. and of its subsidiaries in Germany, the Netherlands, Sweden and Lithuania (together "Korvane" or "the Company") may travel on Company business and be reimbursed for the costs they incur. It applies to every employee, to agency workers placed with the Company for longer than ninety days, and to directors, with the modification that the expenses of the CFO are approved by the CEO and those of the CEO by the independent chair of the Board.</w:t>
      </w:r>
    </w:p>
    <w:p>
      <w:r>
        <w:t>1.2 The policy does not apply to the rota crew exchange between GDY-1 and HAM-2, whose accommodation and subsistence are covered by Annex B of the Collective Rota Agreement, nor to relocation, which is governed by the Mobility Guideline of People &amp; Culture. Where the two overlap, the more specific document prevails.</w:t>
      </w:r>
    </w:p>
    <w:p>
      <w:r>
        <w:t>1.3 The guiding rule is simple, and Finance asks that people read it before the table in section 7 rather than after: travel on Company business should be necessary, undertaken in the most economical manner reasonably available, and documented. An employee shall not profit from travel, nor suffer a loss that the Company would have borne had the rules been followed.</w:t>
      </w:r>
    </w:p>
    <w:p>
      <w:pPr>
        <w:pStyle w:val="Heading2"/>
      </w:pPr>
      <w:r>
        <w:t>2 Authorisation of trips</w:t>
      </w:r>
    </w:p>
    <w:p>
      <w:r>
        <w:t>2.1 Every trip must be authorised before booking through the expense module (module EXP) of ColdLedger. Trips of more than three nights, and any trip outside the European Union, additionally require a written business justification of no fewer than three lines, which Finance reads and, sometimes, even quotes back.</w:t>
      </w:r>
    </w:p>
    <w:p>
      <w:r>
        <w:t>2.2 Authority to approve is graded by the total estimated cost of the trip, expressed in PLN at the budget rate, as follows.</w:t>
      </w:r>
    </w:p>
    <w:tbl>
      <w:tblPr>
        <w:tblStyle w:val="TableGrid"/>
        <w:tblW w:type="auto" w:w="0"/>
        <w:tblLook w:firstColumn="1" w:firstRow="1" w:lastColumn="0" w:lastRow="0" w:noHBand="0" w:noVBand="1" w:val="04A0"/>
      </w:tblPr>
      <w:tblGrid>
        <w:gridCol w:w="4320"/>
        <w:gridCol w:w="4320"/>
      </w:tblGrid>
      <w:tr>
        <w:tc>
          <w:tcPr>
            <w:tcW w:type="dxa" w:w="4320"/>
          </w:tcPr>
          <w:p>
            <w:r>
              <w:rPr>
                <w:b/>
              </w:rPr>
              <w:t>Estimated cost of trip</w:t>
            </w:r>
          </w:p>
        </w:tc>
        <w:tc>
          <w:tcPr>
            <w:tcW w:type="dxa" w:w="4320"/>
          </w:tcPr>
          <w:p>
            <w:r>
              <w:rPr>
                <w:b/>
              </w:rPr>
              <w:t>Approver</w:t>
            </w:r>
          </w:p>
        </w:tc>
      </w:tr>
      <w:tr>
        <w:tc>
          <w:tcPr>
            <w:tcW w:type="dxa" w:w="4320"/>
          </w:tcPr>
          <w:p>
            <w:r>
              <w:t>up to PLN 2,500 (approx. EUR 580)</w:t>
            </w:r>
          </w:p>
        </w:tc>
        <w:tc>
          <w:tcPr>
            <w:tcW w:type="dxa" w:w="4320"/>
          </w:tcPr>
          <w:p>
            <w:r>
              <w:t>Line manager</w:t>
            </w:r>
          </w:p>
        </w:tc>
      </w:tr>
      <w:tr>
        <w:tc>
          <w:tcPr>
            <w:tcW w:type="dxa" w:w="4320"/>
          </w:tcPr>
          <w:p>
            <w:r>
              <w:t>PLN 2,501 to PLN 8,000</w:t>
            </w:r>
          </w:p>
        </w:tc>
        <w:tc>
          <w:tcPr>
            <w:tcW w:type="dxa" w:w="4320"/>
          </w:tcPr>
          <w:p>
            <w:r>
              <w:t>Head of function</w:t>
            </w:r>
          </w:p>
        </w:tc>
      </w:tr>
      <w:tr>
        <w:tc>
          <w:tcPr>
            <w:tcW w:type="dxa" w:w="4320"/>
          </w:tcPr>
          <w:p>
            <w:r>
              <w:t>above PLN 8,000</w:t>
            </w:r>
          </w:p>
        </w:tc>
        <w:tc>
          <w:tcPr>
            <w:tcW w:type="dxa" w:w="4320"/>
          </w:tcPr>
          <w:p>
            <w:r>
              <w:t>CFO</w:t>
            </w:r>
          </w:p>
        </w:tc>
      </w:tr>
      <w:tr>
        <w:tc>
          <w:tcPr>
            <w:tcW w:type="dxa" w:w="4320"/>
          </w:tcPr>
          <w:p>
            <w:r>
              <w:t>above PLN 40,000, or any flight outside Europe</w:t>
            </w:r>
          </w:p>
        </w:tc>
        <w:tc>
          <w:tcPr>
            <w:tcW w:type="dxa" w:w="4320"/>
          </w:tcPr>
          <w:p>
            <w:r>
              <w:t>CFO and CEO jointly</w:t>
            </w:r>
          </w:p>
        </w:tc>
      </w:tr>
    </w:tbl>
    <w:p/>
    <w:p>
      <w:r>
        <w:t>2.3 An approver shall not approve his or her own expenses, nor those of a person who approves theirs. The ColdLedger workflow enforces this, except when it does not, which should be reported to Kamil Zdunek in IT Support so that the defect can be added to the long list.</w:t>
      </w:r>
    </w:p>
    <w:p>
      <w:pPr>
        <w:pStyle w:val="Heading2"/>
      </w:pPr>
      <w:r>
        <w:t>3 Transport</w:t>
      </w:r>
    </w:p>
    <w:p>
      <w:r>
        <w:t xml:space="preserve">3.1 </w:t>
      </w:r>
      <w:r>
        <w:rPr>
          <w:i/>
        </w:rPr>
        <w:t>Air travel.</w:t>
      </w:r>
      <w:r>
        <w:t xml:space="preserve"> Economy class is the standard. Business class may be booked only for a flight whose scheduled duration is longer than 6 hours and only with the written approval of the CFO. Under the previous version the threshold was 5 hours; it has been raised in this version and the former threshold no longer applies.</w:t>
      </w:r>
    </w:p>
    <w:p>
      <w:r>
        <w:t xml:space="preserve">3.2 </w:t>
      </w:r>
      <w:r>
        <w:rPr>
          <w:i/>
        </w:rPr>
        <w:t>Advance booking.</w:t>
      </w:r>
      <w:r>
        <w:t xml:space="preserve"> Flights and rail tickets shall be booked at least 14 days before departure unless the business reason for the trip arose later. Under version 2.4 the minimum period was 10 days. A booking made later than the minimum period without a reason will be reimbursed only up to the fare that would have been available fourteen days before.</w:t>
      </w:r>
    </w:p>
    <w:p>
      <w:r>
        <w:t xml:space="preserve">3.3 </w:t>
      </w:r>
      <w:r>
        <w:rPr>
          <w:i/>
        </w:rPr>
        <w:t>Rail.</w:t>
      </w:r>
      <w:r>
        <w:t xml:space="preserve"> First class is permitted for rail journeys with a scheduled duration of more than 4 hours. Seat reservations and sleeper supplements are reimbursable.</w:t>
      </w:r>
    </w:p>
    <w:p>
      <w:r>
        <w:t xml:space="preserve">3.4 </w:t>
      </w:r>
      <w:r>
        <w:rPr>
          <w:i/>
        </w:rPr>
        <w:t>Hire cars.</w:t>
      </w:r>
      <w:r>
        <w:t xml:space="preserve"> A hire car may be used only where public transport is not reasonably available or where a team of at least three travels together. The category is limited to compact (ACRISS group C); an upgrade must be paid for by the employee. Fuel is reimbursed on receipt. The Company's collision damage waiver covers the excess up to EUR 800 per incident.</w:t>
      </w:r>
    </w:p>
    <w:p>
      <w:r>
        <w:t xml:space="preserve">3.5 </w:t>
      </w:r>
      <w:r>
        <w:rPr>
          <w:i/>
        </w:rPr>
        <w:t>Private car.</w:t>
      </w:r>
      <w:r>
        <w:t xml:space="preserve"> Use of a private car for Company business is reimbursed at PLN 1.15 per kilometre, calculated on the shortest route as recorded in the expense module, and capped at 1,500 km per employee per month without CFO approval. The rate under version 2.4 was PLN 0.89 per kilometre and is no longer valid. Parking is reimbursed on receipt; parking fines and traffic offences never are.</w:t>
      </w:r>
    </w:p>
    <w:p>
      <w:r>
        <w:t xml:space="preserve">3.6 </w:t>
      </w:r>
      <w:r>
        <w:rPr>
          <w:i/>
        </w:rPr>
        <w:t>Taxis and ride-hailing.</w:t>
      </w:r>
      <w:r>
        <w:t xml:space="preserve"> Permitted where public transport is unavailable, where luggage or the time of day makes it unsafe or impractical, and for any journey between a depot and an airport outside the hours of 06:00 to 22:00. The employee shall keep the receipt; a receipt printed by the app is a receipt.</w:t>
      </w:r>
    </w:p>
    <w:p>
      <w:pPr>
        <w:pStyle w:val="Heading2"/>
      </w:pPr>
      <w:r>
        <w:t>4 Accommodation</w:t>
      </w:r>
    </w:p>
    <w:p>
      <w:r>
        <w:t>4.1 Hotel accommodation shall be booked through the Company's travel agent unless the traveller can show a lower price in a comparable property. The nightly caps, including breakfast and local taxes, are set out below. They are expressed in EUR and apply per room per night.</w:t>
      </w:r>
    </w:p>
    <w:tbl>
      <w:tblPr>
        <w:tblStyle w:val="TableGrid"/>
        <w:tblW w:type="auto" w:w="0"/>
        <w:tblLook w:firstColumn="1" w:firstRow="1" w:lastColumn="0" w:lastRow="0" w:noHBand="0" w:noVBand="1" w:val="04A0"/>
      </w:tblPr>
      <w:tblGrid>
        <w:gridCol w:w="4320"/>
        <w:gridCol w:w="4320"/>
      </w:tblGrid>
      <w:tr>
        <w:tc>
          <w:tcPr>
            <w:tcW w:type="dxa" w:w="4320"/>
          </w:tcPr>
          <w:p>
            <w:r>
              <w:rPr>
                <w:b/>
              </w:rPr>
              <w:t>City</w:t>
            </w:r>
          </w:p>
        </w:tc>
        <w:tc>
          <w:tcPr>
            <w:tcW w:type="dxa" w:w="4320"/>
          </w:tcPr>
          <w:p>
            <w:r>
              <w:rPr>
                <w:b/>
              </w:rPr>
              <w:t>Cap per night (EUR)</w:t>
            </w:r>
          </w:p>
        </w:tc>
      </w:tr>
      <w:tr>
        <w:tc>
          <w:tcPr>
            <w:tcW w:type="dxa" w:w="4320"/>
          </w:tcPr>
          <w:p>
            <w:r>
              <w:t>Gdynia / Gdańsk</w:t>
            </w:r>
          </w:p>
        </w:tc>
        <w:tc>
          <w:tcPr>
            <w:tcW w:type="dxa" w:w="4320"/>
          </w:tcPr>
          <w:p>
            <w:r>
              <w:t>115</w:t>
            </w:r>
          </w:p>
        </w:tc>
      </w:tr>
      <w:tr>
        <w:tc>
          <w:tcPr>
            <w:tcW w:type="dxa" w:w="4320"/>
          </w:tcPr>
          <w:p>
            <w:r>
              <w:t>Hamburg</w:t>
            </w:r>
          </w:p>
        </w:tc>
        <w:tc>
          <w:tcPr>
            <w:tcW w:type="dxa" w:w="4320"/>
          </w:tcPr>
          <w:p>
            <w:r>
              <w:t>148</w:t>
            </w:r>
          </w:p>
        </w:tc>
      </w:tr>
      <w:tr>
        <w:tc>
          <w:tcPr>
            <w:tcW w:type="dxa" w:w="4320"/>
          </w:tcPr>
          <w:p>
            <w:r>
              <w:t>Rotterdam</w:t>
            </w:r>
          </w:p>
        </w:tc>
        <w:tc>
          <w:tcPr>
            <w:tcW w:type="dxa" w:w="4320"/>
          </w:tcPr>
          <w:p>
            <w:r>
              <w:t>162</w:t>
            </w:r>
          </w:p>
        </w:tc>
      </w:tr>
      <w:tr>
        <w:tc>
          <w:tcPr>
            <w:tcW w:type="dxa" w:w="4320"/>
          </w:tcPr>
          <w:p>
            <w:r>
              <w:t>Gothenburg</w:t>
            </w:r>
          </w:p>
        </w:tc>
        <w:tc>
          <w:tcPr>
            <w:tcW w:type="dxa" w:w="4320"/>
          </w:tcPr>
          <w:p>
            <w:r>
              <w:t>156</w:t>
            </w:r>
          </w:p>
        </w:tc>
      </w:tr>
      <w:tr>
        <w:tc>
          <w:tcPr>
            <w:tcW w:type="dxa" w:w="4320"/>
          </w:tcPr>
          <w:p>
            <w:r>
              <w:t>Klaipėda</w:t>
            </w:r>
          </w:p>
        </w:tc>
        <w:tc>
          <w:tcPr>
            <w:tcW w:type="dxa" w:w="4320"/>
          </w:tcPr>
          <w:p>
            <w:r>
              <w:t>98</w:t>
            </w:r>
          </w:p>
        </w:tc>
      </w:tr>
      <w:tr>
        <w:tc>
          <w:tcPr>
            <w:tcW w:type="dxa" w:w="4320"/>
          </w:tcPr>
          <w:p>
            <w:r>
              <w:t>Any other city in the EU</w:t>
            </w:r>
          </w:p>
        </w:tc>
        <w:tc>
          <w:tcPr>
            <w:tcW w:type="dxa" w:w="4320"/>
          </w:tcPr>
          <w:p>
            <w:r>
              <w:t>135</w:t>
            </w:r>
          </w:p>
        </w:tc>
      </w:tr>
    </w:tbl>
    <w:p/>
    <w:p>
      <w:r>
        <w:t>4.2 During trade fairs and conferences named by the Head of Sales in a notice published on the intranet, the cap in 4.1 may be exceeded by up to 25%. Outside the EU the cap is set by the CFO when the trip is approved.</w:t>
      </w:r>
    </w:p>
    <w:p>
      <w:r>
        <w:t>4.3 Private accommodation, with friends or family, is not reimbursed, but the employee may claim the per diem. Hotel mini-bar, pay-per-view, laundry for trips shorter than five nights, and spa or gym are for the employee's own account.</w:t>
      </w:r>
    </w:p>
    <w:p>
      <w:pPr>
        <w:pStyle w:val="Heading2"/>
      </w:pPr>
      <w:r>
        <w:t>5 Meals, per diems and entertainment</w:t>
      </w:r>
    </w:p>
    <w:p>
      <w:r>
        <w:t>5.1 For trips lasting more than 8 hours the employee is entitled to a per diem in place of meal receipts. Where the trip lasts between 8 and 12 hours the per diem is 50% of the daily amount; above 12 hours, 100%. The daily amounts are as follows.</w:t>
      </w:r>
    </w:p>
    <w:tbl>
      <w:tblPr>
        <w:tblStyle w:val="TableGrid"/>
        <w:tblW w:type="auto" w:w="0"/>
        <w:tblLook w:firstColumn="1" w:firstRow="1" w:lastColumn="0" w:lastRow="0" w:noHBand="0" w:noVBand="1" w:val="04A0"/>
      </w:tblPr>
      <w:tblGrid>
        <w:gridCol w:w="4320"/>
        <w:gridCol w:w="4320"/>
      </w:tblGrid>
      <w:tr>
        <w:tc>
          <w:tcPr>
            <w:tcW w:type="dxa" w:w="4320"/>
          </w:tcPr>
          <w:p>
            <w:r>
              <w:rPr>
                <w:b/>
              </w:rPr>
              <w:t>Country</w:t>
            </w:r>
          </w:p>
        </w:tc>
        <w:tc>
          <w:tcPr>
            <w:tcW w:type="dxa" w:w="4320"/>
          </w:tcPr>
          <w:p>
            <w:r>
              <w:rPr>
                <w:b/>
              </w:rPr>
              <w:t>Daily per diem</w:t>
            </w:r>
          </w:p>
        </w:tc>
      </w:tr>
      <w:tr>
        <w:tc>
          <w:tcPr>
            <w:tcW w:type="dxa" w:w="4320"/>
          </w:tcPr>
          <w:p>
            <w:r>
              <w:t>Poland (domestic)</w:t>
            </w:r>
          </w:p>
        </w:tc>
        <w:tc>
          <w:tcPr>
            <w:tcW w:type="dxa" w:w="4320"/>
          </w:tcPr>
          <w:p>
            <w:r>
              <w:t>PLN 45</w:t>
            </w:r>
          </w:p>
        </w:tc>
      </w:tr>
      <w:tr>
        <w:tc>
          <w:tcPr>
            <w:tcW w:type="dxa" w:w="4320"/>
          </w:tcPr>
          <w:p>
            <w:r>
              <w:t>Germany</w:t>
            </w:r>
          </w:p>
        </w:tc>
        <w:tc>
          <w:tcPr>
            <w:tcW w:type="dxa" w:w="4320"/>
          </w:tcPr>
          <w:p>
            <w:r>
              <w:t>EUR 38</w:t>
            </w:r>
          </w:p>
        </w:tc>
      </w:tr>
      <w:tr>
        <w:tc>
          <w:tcPr>
            <w:tcW w:type="dxa" w:w="4320"/>
          </w:tcPr>
          <w:p>
            <w:r>
              <w:t>Netherlands</w:t>
            </w:r>
          </w:p>
        </w:tc>
        <w:tc>
          <w:tcPr>
            <w:tcW w:type="dxa" w:w="4320"/>
          </w:tcPr>
          <w:p>
            <w:r>
              <w:t>EUR 41</w:t>
            </w:r>
          </w:p>
        </w:tc>
      </w:tr>
      <w:tr>
        <w:tc>
          <w:tcPr>
            <w:tcW w:type="dxa" w:w="4320"/>
          </w:tcPr>
          <w:p>
            <w:r>
              <w:t>Sweden</w:t>
            </w:r>
          </w:p>
        </w:tc>
        <w:tc>
          <w:tcPr>
            <w:tcW w:type="dxa" w:w="4320"/>
          </w:tcPr>
          <w:p>
            <w:r>
              <w:t>EUR 44</w:t>
            </w:r>
          </w:p>
        </w:tc>
      </w:tr>
      <w:tr>
        <w:tc>
          <w:tcPr>
            <w:tcW w:type="dxa" w:w="4320"/>
          </w:tcPr>
          <w:p>
            <w:r>
              <w:t>Lithuania</w:t>
            </w:r>
          </w:p>
        </w:tc>
        <w:tc>
          <w:tcPr>
            <w:tcW w:type="dxa" w:w="4320"/>
          </w:tcPr>
          <w:p>
            <w:r>
              <w:t>EUR 29</w:t>
            </w:r>
          </w:p>
        </w:tc>
      </w:tr>
      <w:tr>
        <w:tc>
          <w:tcPr>
            <w:tcW w:type="dxa" w:w="4320"/>
          </w:tcPr>
          <w:p>
            <w:r>
              <w:t>Other EU countries</w:t>
            </w:r>
          </w:p>
        </w:tc>
        <w:tc>
          <w:tcPr>
            <w:tcW w:type="dxa" w:w="4320"/>
          </w:tcPr>
          <w:p>
            <w:r>
              <w:t>EUR 36</w:t>
            </w:r>
          </w:p>
        </w:tc>
      </w:tr>
    </w:tbl>
    <w:p/>
    <w:p>
      <w:r>
        <w:t>5.2 Where a meal is provided free of charge, for example breakfast included in the room rate, the per diem is reduced by 25% for breakfast, 35% for lunch and 40% for dinner.</w:t>
      </w:r>
    </w:p>
    <w:p>
      <w:r>
        <w:t>5.3 Client entertainment is reimbursable up to EUR 65 per head for a dinner and EUR 25 per head for a lunch, and the employee shall record the names and companies of all attendees. Alcohol is not reimbursed, with one exception: wine served at a client dinner, up to EUR 18 per head.</w:t>
      </w:r>
    </w:p>
    <w:p>
      <w:r>
        <w:t>5.4 Team meals paid for by a manager for his or her own team are a matter for the budget of the manager's department and are not travel expenses. Pizza after a night shift in peak season is a legitimate use of the departmental budget, and no, Finance does not want to see the receipts for the pineapple.</w:t>
      </w:r>
    </w:p>
    <w:p>
      <w:pPr>
        <w:pStyle w:val="Heading2"/>
      </w:pPr>
      <w:r>
        <w:t>6 Corporate cards and advances</w:t>
      </w:r>
    </w:p>
    <w:p>
      <w:r>
        <w:t>6.1 Corporate cards are issued to Heads of function and to staff in Sales and Operations who travel more than six times a year. The monthly limit of a card is EUR 3,000 unless the CFO approves a different limit in writing. A card is personal, may not be lent, and may not be used for any private purchase, not even temporarily.</w:t>
      </w:r>
    </w:p>
    <w:p>
      <w:r>
        <w:t>6.2 Card statements shall be reconciled in the expense module by the fifth working day of the month following the statement.</w:t>
      </w:r>
    </w:p>
    <w:p>
      <w:r>
        <w:t>6.3 An advance of up to 80% of the estimated cost of an approved trip, but not more than PLN 6,000, may be requested not later than five working days before departure. The advance shall be settled within 7 days of the employee's return; an advance unsettled for longer is deducted from the next salary payment, in accordance with the employee's written consent given on appointment.</w:t>
      </w:r>
    </w:p>
    <w:p>
      <w:pPr>
        <w:pStyle w:val="Heading2"/>
      </w:pPr>
      <w:r>
        <w:t>7 Claims, receipts and payment</w:t>
      </w:r>
    </w:p>
    <w:p>
      <w:r>
        <w:t>7.1 A claim shall be submitted within 14 days of the end of the trip. Under version 2.4 the period was 30 days. A claim submitted after 60 days from the end of the trip requires the written approval of the CFO and may be refused.</w:t>
      </w:r>
    </w:p>
    <w:p>
      <w:r>
        <w:t>7.2 A receipt or invoice is required for every item above PLN 40 (or the equivalent in foreign currency). For items of PLN 40 or less a short description in the claim is sufficient. Lost receipts may be replaced by a signed declaration, but only twice in a calendar year.</w:t>
      </w:r>
    </w:p>
    <w:p>
      <w:r>
        <w:t>7.3 Expenses incurred in foreign currency are converted at the average rate of the National Bank of Poland on the last working day before the expense, except that expenses paid with a corporate card are converted at the rate shown on the card statement.</w:t>
      </w:r>
    </w:p>
    <w:p>
      <w:r>
        <w:t>7.4 Approved claims are paid on the 10th and on the 25th of each month, together with the payroll run, to the employee's bank account recorded in the HR system.</w:t>
      </w:r>
    </w:p>
    <w:p>
      <w:r>
        <w:t>7.5 The following are not reimbursable: fines of any kind, airport lounge fees, in-flight Wi-Fi on flights shorter than 3 hours, travel for a spouse, partner or child, insurance excesses on private vehicles, and personal telephone calls above EUR 5 per day.</w:t>
      </w:r>
    </w:p>
    <w:p>
      <w:pPr>
        <w:pStyle w:val="Heading2"/>
      </w:pPr>
      <w:r>
        <w:t>8 Control, misuse and exceptions</w:t>
      </w:r>
    </w:p>
    <w:p>
      <w:r>
        <w:t>8.1 Finance reviews a random sample of 5% of claims each month, and every claim above PLN 8,000. Duplicate claims, altered receipts and claims for expenses not incurred are serious breaches of the employment relationship and may lead to disciplinary measures, up to and including termination without notice; People &amp; Culture will be informed in every case.</w:t>
      </w:r>
    </w:p>
    <w:p>
      <w:r>
        <w:t>8.2 Exceptions to this policy may be granted only by the CFO in writing and shall be recorded in the exception register maintained by Finance. An approver who grants an exception without reference to the CFO is responsible for the cost.</w:t>
      </w:r>
    </w:p>
    <w:p>
      <w:r>
        <w:t>8.3 Questions about the policy should be sent to travel@korvane.example. This policy will be reviewed in June of each year by Finance and People &amp; Culture, and any change takes effect on the following 1 July.</w:t>
      </w:r>
    </w:p>
    <w:p>
      <w:r>
        <w:rPr>
          <w:i/>
        </w:rPr>
        <w:t>Note from Finance (not part of the policy): Gunnar's team asked whether the 14-day booking rule applies when a vessel call is moved at 10 p.m. It does not. The business reason for a late booking is exactly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