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EMPLOYMENT CONTRACT — Operations Staff (Grades O1–O6)</w:t>
      </w:r>
    </w:p>
    <w:p>
      <w:r>
        <w:t xml:space="preserve">Template ET-OPS-2024/2 · last revised 9 January 2024 by external counsel (Wierzbicki, Szwed-Marchetti i Wspólnicy, Gdańsk) · </w:t>
      </w:r>
      <w:r>
        <w:rPr>
          <w:i/>
        </w:rPr>
        <w:t>DRAFTING NOTE, delete before issue: the square-bracketed fields are completed by People &amp; Culture; do not alter the clause text without Legal Counsel (S. Brandão) sign-off, and do not "improve" the wording of clause 11, it took us three rounds.</w:t>
      </w:r>
    </w:p>
    <w:p>
      <w:r>
        <w:t>Concluded in Gdynia on [date] between:</w:t>
      </w:r>
    </w:p>
    <w:p>
      <w:r>
        <w:t xml:space="preserve">(1) </w:t>
      </w:r>
      <w:r>
        <w:rPr>
          <w:b/>
        </w:rPr>
        <w:t>Korvane Cold Chain Sp. z o.o.</w:t>
      </w:r>
      <w:r>
        <w:t>, with its registered office at ul. Łużycka 14, 81-537 Gdynia, entered in the National Court Register under KRS 0000488213, NIP 586-217-40-93, represented by [name and capacity of signatory] (hereinafter "the Employer"); and</w:t>
      </w:r>
    </w:p>
    <w:p>
      <w:r>
        <w:t>(2) [Employee full name], PESEL [number], residing at [address] (hereinafter "the Employee").</w:t>
      </w:r>
    </w:p>
    <w:p>
      <w:pPr>
        <w:pStyle w:val="Heading2"/>
      </w:pPr>
      <w:r>
        <w:t>1. Position and place of work</w:t>
      </w:r>
    </w:p>
    <w:p>
      <w:r>
        <w:t>1.1 The Employee is engaged as [job title], graded [O1 / O2 / O3 / O4 / O5 / O6] in accordance with the Employer's grading schedule current from time to time, reporting to [line manager].</w:t>
      </w:r>
    </w:p>
    <w:p>
      <w:r>
        <w:t>1.2 The Employee's habitual place of work is the Gdynia depot (GDY-1) at ul. Łużycka 14. The Employer may, on giving not less than 14 days' written notice, require the Employee to work at another Employer facility within the Tri-City area (Gdynia, Sopot, Gdańsk) without this constituting a change of the terms of employment. Any posting beyond the Tri-City area shall be made only by agreement or by a change notice under the Labour Code.</w:t>
      </w:r>
    </w:p>
    <w:p>
      <w:pPr>
        <w:pStyle w:val="Heading2"/>
      </w:pPr>
      <w:r>
        <w:t>2. Commencement, probation and term</w:t>
      </w:r>
    </w:p>
    <w:p>
      <w:r>
        <w:t>2.1 Employment commences on [start date].</w:t>
      </w:r>
    </w:p>
    <w:p>
      <w:r>
        <w:t>2.2 The first 3 (three) months of employment constitute a probation period. During probation either party may terminate this contract by giving 5 (five) working days' notice. A review meeting is held in the sixth week and again in the eleventh week of employment.</w:t>
      </w:r>
    </w:p>
    <w:p>
      <w:r>
        <w:t>2.3 Unless terminated earlier, upon expiry of the probation period this contract continues for an indefinite period, without the need for a new instrument.</w:t>
      </w:r>
    </w:p>
    <w:p>
      <w:pPr>
        <w:pStyle w:val="Heading2"/>
      </w:pPr>
      <w:r>
        <w:t>3. Working time</w:t>
      </w:r>
    </w:p>
    <w:p>
      <w:r>
        <w:t>3.1 The Employee's working time is 8 hours per day and, on average, 40 hours per week in a four-month settlement period.</w:t>
      </w:r>
    </w:p>
    <w:p>
      <w:r>
        <w:t>3.2 Work is performed in shifts according to a roster published by the shift supervisor at least 14 days in advance: morning shift 06:00–14:00, afternoon shift 14:00–22:00, and night shift 22:00–06:00. A night shift is any shift of which at least three hours fall between 22:00 and 06:00. The Employee is entitled to 11 consecutive hours of daily rest and to 35 consecutive hours of weekly rest, save in the situations provided for by statute.</w:t>
      </w:r>
    </w:p>
    <w:p>
      <w:r>
        <w:t>3.3 Time is recorded at the badge terminal at the depot gatehouse. Failure to clock in or out must be explained to the shift supervisor on the same day.</w:t>
      </w:r>
    </w:p>
    <w:p>
      <w:pPr>
        <w:pStyle w:val="Heading2"/>
      </w:pPr>
      <w:r>
        <w:t>4. Overtime, night work and standby</w:t>
      </w:r>
    </w:p>
    <w:p>
      <w:r>
        <w:t>4.1 Overtime is worked only on the written (or Tidewalk-logged) instruction of the shift supervisor. Overtime is remunerated, in addition to base pay, at the following multiples of the hourly base rate: 150% for the first 2 hours in any working day; 200% from the third hour in any working day; and 200% for all hours worked on a Sunday or a public holiday. Overtime worked between 22:00 and 06:00 is remunerated at 175% in total, the night supplement not being payable in addition.</w:t>
      </w:r>
    </w:p>
    <w:p>
      <w:r>
        <w:t>4.2 Night hours which are not overtime attract a night supplement of 22% of the hourly base rate.</w:t>
      </w:r>
    </w:p>
    <w:p>
      <w:r>
        <w:t>4.3 The Employee may elect to take time off in lieu in place of overtime pay, at the rate of 1.5 hours off for every hour of overtime worked, if taken within the same settlement period.</w:t>
      </w:r>
    </w:p>
    <w:p>
      <w:r>
        <w:t>4.4 Overtime shall not exceed 156 hours in a calendar year.</w:t>
      </w:r>
    </w:p>
    <w:p>
      <w:r>
        <w:t>4.5 Where the Employee is placed on standby (without being required to attend the depot) a flat payment of PLN 85 gross is made for each standby block of 12 hours; hours actually worked following a call-out are paid under clause 4.1.</w:t>
      </w:r>
    </w:p>
    <w:p>
      <w:pPr>
        <w:pStyle w:val="Heading2"/>
      </w:pPr>
      <w:r>
        <w:t>5. Remuneration</w:t>
      </w:r>
    </w:p>
    <w:p>
      <w:r>
        <w:t>5.1 The Employee's gross monthly base pay shall be [amount] PLN, within the band for the Employee's grade as set out below.</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r>
              <w:rPr>
                <w:b/>
              </w:rPr>
              <w:t>Grade</w:t>
            </w:r>
          </w:p>
        </w:tc>
        <w:tc>
          <w:tcPr>
            <w:tcW w:type="dxa" w:w="2160"/>
          </w:tcPr>
          <w:p>
            <w:r>
              <w:rPr>
                <w:b/>
              </w:rPr>
              <w:t>Typical roles</w:t>
            </w:r>
          </w:p>
        </w:tc>
        <w:tc>
          <w:tcPr>
            <w:tcW w:type="dxa" w:w="2160"/>
          </w:tcPr>
          <w:p>
            <w:r>
              <w:rPr>
                <w:b/>
              </w:rPr>
              <w:t>Monthly base pay, PLN gross, minimum</w:t>
            </w:r>
          </w:p>
        </w:tc>
        <w:tc>
          <w:tcPr>
            <w:tcW w:type="dxa" w:w="2160"/>
          </w:tcPr>
          <w:p>
            <w:r>
              <w:rPr>
                <w:b/>
              </w:rPr>
              <w:t>Monthly base pay, PLN gross, maximum</w:t>
            </w:r>
          </w:p>
        </w:tc>
      </w:tr>
      <w:tr>
        <w:trPr>
          <w:cantSplit/>
        </w:trPr>
        <w:tc>
          <w:tcPr>
            <w:tcW w:type="dxa" w:w="2160"/>
          </w:tcPr>
          <w:p>
            <w:r>
              <w:t>O1</w:t>
            </w:r>
          </w:p>
        </w:tc>
        <w:tc>
          <w:tcPr>
            <w:tcW w:type="dxa" w:w="2160"/>
          </w:tcPr>
          <w:p>
            <w:r>
              <w:t>Yard operative</w:t>
            </w:r>
          </w:p>
        </w:tc>
        <w:tc>
          <w:tcPr>
            <w:tcW w:type="dxa" w:w="2160"/>
          </w:tcPr>
          <w:p>
            <w:r>
              <w:t>5,150</w:t>
            </w:r>
          </w:p>
        </w:tc>
        <w:tc>
          <w:tcPr>
            <w:tcW w:type="dxa" w:w="2160"/>
          </w:tcPr>
          <w:p>
            <w:r>
              <w:t>5,900</w:t>
            </w:r>
          </w:p>
        </w:tc>
      </w:tr>
      <w:tr>
        <w:trPr>
          <w:cantSplit/>
        </w:trPr>
        <w:tc>
          <w:tcPr>
            <w:tcW w:type="dxa" w:w="2160"/>
          </w:tcPr>
          <w:p>
            <w:r>
              <w:t>O2</w:t>
            </w:r>
          </w:p>
        </w:tc>
        <w:tc>
          <w:tcPr>
            <w:tcW w:type="dxa" w:w="2160"/>
          </w:tcPr>
          <w:p>
            <w:r>
              <w:t>Reefer technician, container handler</w:t>
            </w:r>
          </w:p>
        </w:tc>
        <w:tc>
          <w:tcPr>
            <w:tcW w:type="dxa" w:w="2160"/>
          </w:tcPr>
          <w:p>
            <w:r>
              <w:t>5,800</w:t>
            </w:r>
          </w:p>
        </w:tc>
        <w:tc>
          <w:tcPr>
            <w:tcW w:type="dxa" w:w="2160"/>
          </w:tcPr>
          <w:p>
            <w:r>
              <w:t>6,850</w:t>
            </w:r>
          </w:p>
        </w:tc>
      </w:tr>
      <w:tr>
        <w:trPr>
          <w:cantSplit/>
        </w:trPr>
        <w:tc>
          <w:tcPr>
            <w:tcW w:type="dxa" w:w="2160"/>
          </w:tcPr>
          <w:p>
            <w:r>
              <w:t>O3</w:t>
            </w:r>
          </w:p>
        </w:tc>
        <w:tc>
          <w:tcPr>
            <w:tcW w:type="dxa" w:w="2160"/>
          </w:tcPr>
          <w:p>
            <w:r>
              <w:t>Dispatcher</w:t>
            </w:r>
          </w:p>
        </w:tc>
        <w:tc>
          <w:tcPr>
            <w:tcW w:type="dxa" w:w="2160"/>
          </w:tcPr>
          <w:p>
            <w:r>
              <w:t>6,700</w:t>
            </w:r>
          </w:p>
        </w:tc>
        <w:tc>
          <w:tcPr>
            <w:tcW w:type="dxa" w:w="2160"/>
          </w:tcPr>
          <w:p>
            <w:r>
              <w:t>8,000</w:t>
            </w:r>
          </w:p>
        </w:tc>
      </w:tr>
      <w:tr>
        <w:trPr>
          <w:cantSplit/>
        </w:trPr>
        <w:tc>
          <w:tcPr>
            <w:tcW w:type="dxa" w:w="2160"/>
          </w:tcPr>
          <w:p>
            <w:r>
              <w:t>O4</w:t>
            </w:r>
          </w:p>
        </w:tc>
        <w:tc>
          <w:tcPr>
            <w:tcW w:type="dxa" w:w="2160"/>
          </w:tcPr>
          <w:p>
            <w:r>
              <w:t>Senior dispatcher, lead technician</w:t>
            </w:r>
          </w:p>
        </w:tc>
        <w:tc>
          <w:tcPr>
            <w:tcW w:type="dxa" w:w="2160"/>
          </w:tcPr>
          <w:p>
            <w:r>
              <w:t>7,900</w:t>
            </w:r>
          </w:p>
        </w:tc>
        <w:tc>
          <w:tcPr>
            <w:tcW w:type="dxa" w:w="2160"/>
          </w:tcPr>
          <w:p>
            <w:r>
              <w:t>9,400</w:t>
            </w:r>
          </w:p>
        </w:tc>
      </w:tr>
      <w:tr>
        <w:trPr>
          <w:cantSplit/>
        </w:trPr>
        <w:tc>
          <w:tcPr>
            <w:tcW w:type="dxa" w:w="2160"/>
          </w:tcPr>
          <w:p>
            <w:r>
              <w:t>O5</w:t>
            </w:r>
          </w:p>
        </w:tc>
        <w:tc>
          <w:tcPr>
            <w:tcW w:type="dxa" w:w="2160"/>
          </w:tcPr>
          <w:p>
            <w:r>
              <w:t>Shift supervisor</w:t>
            </w:r>
          </w:p>
        </w:tc>
        <w:tc>
          <w:tcPr>
            <w:tcW w:type="dxa" w:w="2160"/>
          </w:tcPr>
          <w:p>
            <w:r>
              <w:t>9,200</w:t>
            </w:r>
          </w:p>
        </w:tc>
        <w:tc>
          <w:tcPr>
            <w:tcW w:type="dxa" w:w="2160"/>
          </w:tcPr>
          <w:p>
            <w:r>
              <w:t>11,300</w:t>
            </w:r>
          </w:p>
        </w:tc>
      </w:tr>
      <w:tr>
        <w:trPr>
          <w:cantSplit/>
        </w:trPr>
        <w:tc>
          <w:tcPr>
            <w:tcW w:type="dxa" w:w="2160"/>
          </w:tcPr>
          <w:p>
            <w:r>
              <w:t>O6</w:t>
            </w:r>
          </w:p>
        </w:tc>
        <w:tc>
          <w:tcPr>
            <w:tcW w:type="dxa" w:w="2160"/>
          </w:tcPr>
          <w:p>
            <w:r>
              <w:t>Depot operations coordinator</w:t>
            </w:r>
          </w:p>
        </w:tc>
        <w:tc>
          <w:tcPr>
            <w:tcW w:type="dxa" w:w="2160"/>
          </w:tcPr>
          <w:p>
            <w:r>
              <w:t>11,000</w:t>
            </w:r>
          </w:p>
        </w:tc>
        <w:tc>
          <w:tcPr>
            <w:tcW w:type="dxa" w:w="2160"/>
          </w:tcPr>
          <w:p>
            <w:r>
              <w:t>13,600</w:t>
            </w:r>
          </w:p>
        </w:tc>
      </w:tr>
    </w:tbl>
    <w:p/>
    <w:p>
      <w:r>
        <w:t>5.2 Pay is due on the 10th day of the month following the month for which it is earned, by transfer to the Employee's bank account. Base pay is reviewed once a year in March, with effect from 1 April.</w:t>
      </w:r>
    </w:p>
    <w:p>
      <w:r>
        <w:t>5.3 An Employee who works in a cold store at a temperature of -18 °C or lower is paid a thermal allowance of PLN 4.35 gross for each full hour so worked.</w:t>
      </w:r>
    </w:p>
    <w:p>
      <w:r>
        <w:t>5.4 The Employee may be awarded a discretionary annual bonus with a target of 6% of annual base pay, payable with the April payroll. The bonus is not an element of remuneration and no entitlement to it arises from past payment.</w:t>
      </w:r>
    </w:p>
    <w:p>
      <w:pPr>
        <w:pStyle w:val="Heading2"/>
      </w:pPr>
      <w:r>
        <w:t>6. Leave and sickness absence</w:t>
      </w:r>
    </w:p>
    <w:p>
      <w:r>
        <w:t>6.1 The Employee is entitled to annual leave and to sick pay in accordance with Sections 3 and 4 of the Employer's Employee Handbook in force from time to time (at the date of this template, Version 4). At commencement the Employee's entitlement is 21 working days per leave year.</w:t>
      </w:r>
    </w:p>
    <w:p>
      <w:pPr>
        <w:pStyle w:val="Heading2"/>
      </w:pPr>
      <w:r>
        <w:t>7. Confidentiality</w:t>
      </w:r>
    </w:p>
    <w:p>
      <w:r>
        <w:t>7.1 The Employee shall keep confidential, during the employment and for 5 (five) years after it ends, all information of a commercial, technical or personal nature of which the Employee becomes aware by reason of the employment, including without limitation customer identities and routes, load and temperature data recorded by KC-Tag devices, and the configuration of the Tidewalk platform.</w:t>
      </w:r>
    </w:p>
    <w:p>
      <w:r>
        <w:t>7.2 Customer temperature data may be disclosed to a third party only with the prior written consent of the Employer's Legal Counsel, save where disclosure is compelled by law.</w:t>
      </w:r>
    </w:p>
    <w:p>
      <w:r>
        <w:t>7.3 Upon termination of employment, howsoever arising, the Employee shall return all property and documents of the Employer, including badge, PPE, laptop and handheld tag reader, within 3 (three) working days after the last day of employment.</w:t>
      </w:r>
    </w:p>
    <w:p>
      <w:pPr>
        <w:pStyle w:val="Heading2"/>
      </w:pPr>
      <w:r>
        <w:t>8. Training costs</w:t>
      </w:r>
    </w:p>
    <w:p>
      <w:r>
        <w:t>8.1 Where the Employer pays for a course or certification exceeding PLN 4,200 in cost, the Employee shall repay the Employer a proportion of the cost if the employment ends within 18 months after completion of the course, other than by reason of the Employer's fault. The proportion repayable is reduced by one eighteenth for each full month elapsed since completion.</w:t>
      </w:r>
    </w:p>
    <w:p>
      <w:pPr>
        <w:pStyle w:val="Heading2"/>
      </w:pPr>
      <w:r>
        <w:t>9. Non-competition after termination</w:t>
      </w:r>
    </w:p>
    <w:p>
      <w:r>
        <w:t>9.1 This clause applies only to Employees in grades O4, O5 and O6.</w:t>
      </w:r>
    </w:p>
    <w:p>
      <w:r>
        <w:t>9.2 For a period of 9 (nine) months after the end of the employment the Employee shall not, in Poland, Germany, the Netherlands, Sweden or Lithuania, engage in or be employed or engaged by any undertaking engaged in refrigerated container logistics or cold-chain temperature monitoring in competition with the Employer.</w:t>
      </w:r>
    </w:p>
    <w:p>
      <w:r>
        <w:t>9.3 In consideration of such restriction the Employer shall pay the Employee, for the duration of the restriction, monthly compensation equal to 40% of the average monthly remuneration received by the Employee in the 6 months preceding the termination, payable by the 10th of the following month.</w:t>
      </w:r>
    </w:p>
    <w:p>
      <w:r>
        <w:t>9.4 The Employer may release the Employee from the restriction by written notice delivered within 14 days after notice of termination is given or received, in which case no compensation is payable.</w:t>
      </w:r>
    </w:p>
    <w:p>
      <w:pPr>
        <w:pStyle w:val="Heading2"/>
      </w:pPr>
      <w:r>
        <w:t>10. Termination</w:t>
      </w:r>
    </w:p>
    <w:p>
      <w:r>
        <w:t>10.1 After probation, the notice period applicable to termination by the Employer is 2 weeks where the Employee has been employed for less than 6 months, 1 month where employed for 6 months up to 3 years, and 3 months where employed for more than 3 years. The notice period applicable to termination by the Employee is 1 month in grades O1 to O4 and 2 months in grades O5 and O6.</w:t>
      </w:r>
    </w:p>
    <w:p>
      <w:pPr>
        <w:pStyle w:val="Heading2"/>
      </w:pPr>
      <w:r>
        <w:t>11. Governing law and final provisions</w:t>
      </w:r>
    </w:p>
    <w:p>
      <w:r>
        <w:t>11.1 This contract is governed by Polish law, and in particular by the Labour Code. Any dispute shall be submitted to the competent labour court having jurisdiction at Gdynia.</w:t>
      </w:r>
    </w:p>
    <w:p>
      <w:r>
        <w:t>11.2 This contract is made in Polish and English; in the event of discrepancy the Polish version prevails. It is executed in two counterparts, one for each party. Amendments require written form to be effective.</w:t>
      </w:r>
    </w:p>
    <w:p>
      <w:r>
        <w:t>11.3 Annexes: Annex 1 (job description), Annex 2 (information on the processing of personal data), Annex 3 (non-competition declaration, grades O4–O6 only).</w:t>
      </w:r>
    </w:p>
    <w:p>
      <w:r>
        <w:t>For the Employer: ______________________          The Employee: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