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KORVANE COLD CHAIN SP. Z O.O.</w:t>
      </w:r>
    </w:p>
    <w:p>
      <w:pPr>
        <w:pStyle w:val="Heading2"/>
      </w:pPr>
      <w:r>
        <w:t>Minutes of the meeting of the Board held on Friday 28 June 2024</w:t>
      </w:r>
    </w:p>
    <w:p>
      <w:r>
        <w:t>Document ref. BM-2024-06 · Classification: CONFIDENTIAL — Board and Company Secretary only</w:t>
      </w:r>
    </w:p>
    <w:p>
      <w:r>
        <w:rPr>
          <w:b/>
        </w:rPr>
        <w:t>Place and time.</w:t>
      </w:r>
      <w:r>
        <w:t xml:space="preserve"> Boardroom "Bałtyk", ul. Łużycka 14, Gdynia. The meeting was opened at 10:04 and closed at 13:25 (CEST). Dr Kielich joined by video link from Warsaw for the whole meeting.</w:t>
      </w:r>
    </w:p>
    <w:p>
      <w:r>
        <w:rPr>
          <w:b/>
        </w:rPr>
        <w:t>Directors present.</w:t>
      </w:r>
      <w:r>
        <w:t xml:space="preserve"> Ulrika Stenmark-Doyle (independent chair), Marta Kowarzik (CEO), Dieter Ahlbeck-Roe (COO), Priya Venkataraman-Holt (CFO), Dr Bartosz Kielich (non-executive, nominated by Baltic Growth Partners).</w:t>
      </w:r>
    </w:p>
    <w:p>
      <w:r>
        <w:rPr>
          <w:b/>
        </w:rPr>
        <w:t>In attendance.</w:t>
      </w:r>
      <w:r>
        <w:t xml:space="preserve"> Agnieszka Przybylska-Nyström (Board Secretary, minutes); Sofia Brandão (Legal Counsel) for item 4; Tomasz Wrzesiński (CTO) for items 5 and 6; Hanneke Dijkgraaf (Depot Manager, Rotterdam) for item 5 by video.</w:t>
      </w:r>
    </w:p>
    <w:p>
      <w:r>
        <w:rPr>
          <w:b/>
        </w:rPr>
        <w:t>Apologies.</w:t>
      </w:r>
      <w:r>
        <w:t xml:space="preserve"> None.</w:t>
      </w:r>
    </w:p>
    <w:p>
      <w:r>
        <w:rPr>
          <w:b/>
        </w:rPr>
        <w:t>Status of these minutes.</w:t>
      </w:r>
      <w:r>
        <w:t xml:space="preserve"> Draft circulated on 4 July 2024; approved by the Board without amendment at its meeting on 12 September 2024.</w:t>
      </w:r>
    </w:p>
    <w:p>
      <w:pPr>
        <w:pStyle w:val="Heading3"/>
      </w:pPr>
      <w:r>
        <w:t>1 Opening, quorum and declarations of interest</w:t>
      </w:r>
    </w:p>
    <w:p>
      <w:r>
        <w:t>1.1 The Chair noted that all five directors were present and that the quorum for a meeting of the Board, being three directors including either the Chair or the CEO, was met. The Chair confirmed that notice of the meeting and the papers had been sent on 21 June 2024, i.e. at least seven days in advance as the rules of procedure require.</w:t>
      </w:r>
    </w:p>
    <w:p>
      <w:r>
        <w:t>1.2 Mr Ahlbeck-Roe declared an interest in item 9 (head-office lease) and said he would leave the room for the deliberation and the vote on it. No other interests were declared.</w:t>
      </w:r>
    </w:p>
    <w:p>
      <w:pPr>
        <w:pStyle w:val="Heading3"/>
      </w:pPr>
      <w:r>
        <w:t>2 Minutes of the previous meeting</w:t>
      </w:r>
    </w:p>
    <w:p>
      <w:r>
        <w:t>2.1 The minutes of the meeting held on 23 April 2024 were taken as read. Dr Kielich asked that the sentence regarding the Hamburg tax audit in paragraph 6.2 be corrected to say "concluded" rather than "closed"; the Board Secretary agreed.</w:t>
      </w:r>
    </w:p>
    <w:p>
      <w:r>
        <w:rPr>
          <w:b/>
        </w:rPr>
        <w:t>Resolution BR-2024-06-01.</w:t>
      </w:r>
      <w:r>
        <w:t xml:space="preserve"> The Board approves the minutes of 23 April 2024 as corrected. </w:t>
      </w:r>
      <w:r>
        <w:rPr>
          <w:i/>
        </w:rPr>
        <w:t>Votes: for 5, against 0, abstentions 0. Carried.</w:t>
      </w:r>
    </w:p>
    <w:p>
      <w:pPr>
        <w:pStyle w:val="Heading3"/>
      </w:pPr>
      <w:r>
        <w:t>3 Management accounts and CFO report</w:t>
      </w:r>
    </w:p>
    <w:p>
      <w:r>
        <w:t>3.1 The CFO presented the management accounts for the five months to 31 May 2024: revenue of EUR 45.5m and EBITDA of EUR 8.1m, an EBITDA margin of 17.8%, before any provision for the Oakhaven matter discussed under item 4. Net debt stood at EUR 56.3m at 31 May. The first-quarter covenant certificate had been delivered to Nordhafen Bank AG on 15 May 2024 and showed leverage of 2.96x against the ceiling of 3.75x applicable for that test date.</w:t>
      </w:r>
    </w:p>
    <w:p>
      <w:r>
        <w:t>3.2 The CFO reminded the Board that the leverage ceiling steps down to 3.50x at the 30 June test. On the current forecast she expected a ratio of about 2.9x, leaving comfortable headroom. The Chair asked that the headroom be presented in the next pack both as a ratio and as the percentage by which EBITDA could fall; the CFO agreed. (Action 1.)</w:t>
      </w:r>
    </w:p>
    <w:p>
      <w:r>
        <w:t>3.3 The dividend of EUR 1.5m for 2023, approved by the shareholders on 27 May 2024, was paid on 20 June 2024. The Board noted the payment.</w:t>
      </w:r>
    </w:p>
    <w:p>
      <w:pPr>
        <w:pStyle w:val="Heading3"/>
      </w:pPr>
      <w:r>
        <w:t>4 The Oakhaven incident (14 June 2024)</w:t>
      </w:r>
    </w:p>
    <w:p>
      <w:r>
        <w:t>4.1 Ms Brandão reported on the temperature excursion of 14 June 2024 affecting a dairy load of Oakhaven Dairy Ltd at the Gdynia depot, which lasted 9 hours before it was detected and corrected. The load was rejected by the consignee. Oakhaven Dairy Ltd notified a claim by letter of 21 June 2024, quantifying its loss at EUR 1,120,000. Legal Counsel's view is that Korvane's liability is arguable but not remote, in particular because the alert sent by the Tidewalk platform was acknowledged but not escalated for several hours, and that the contractual limitation of liability, which she described as "clear but not bullet-proof", would not necessarily apply.</w:t>
      </w:r>
    </w:p>
    <w:p>
      <w:r>
        <w:t>4.2 The CFO reported that the best estimate of the probable outflow, based on advice from Seaboard Insurance Brokers and Legal Counsel, was EUR 840,000, and that the insurance policy carries a deductible of EUR 150,000 per claim. Insurers have been notified. The Board discussed whether to book the provision gross or net of the expected recovery and concluded that recovery would be recognised only when virtually certain. Ms Brandão asked that all wording used with the customer say "provision" and never "settlement". (Action 2.)</w:t>
      </w:r>
    </w:p>
    <w:p>
      <w:r>
        <w:rPr>
          <w:b/>
        </w:rPr>
        <w:t>Resolution BR-2024-06-02.</w:t>
      </w:r>
      <w:r>
        <w:t xml:space="preserve"> The Board approves a provision of EUR 840,000 for the Oakhaven Dairy Ltd claim in the accounts for the half year to 30 June 2024, and authorises Legal Counsel to instruct external counsel within a budget of EUR 60,000. </w:t>
      </w:r>
      <w:r>
        <w:rPr>
          <w:i/>
        </w:rPr>
        <w:t>Votes: for 5, against 0, abstentions 0. Carried.</w:t>
      </w:r>
    </w:p>
    <w:p>
      <w:pPr>
        <w:pStyle w:val="Heading3"/>
      </w:pPr>
      <w:r>
        <w:t>5 Capital expenditure: Rotterdam-Maasvlakte plug racks, phase 1</w:t>
      </w:r>
    </w:p>
    <w:p>
      <w:r>
        <w:t>5.1 Ms Dijkgraaf presented the proposal to add 140 plug points at RTM-3 in 2024. Average utilisation of existing plugs at the yard was 84% in May, and the waiting list for peak season stood at roughly 190 box-days per week. The total cost is EUR 3,400,000, comprising civil works, 140 racks with monitoring, and a transformer upgrade, and the work is expected to be completed by 15 September 2024. A second phase of 120 points would be considered in the 2025 budget.</w:t>
      </w:r>
    </w:p>
    <w:p>
      <w:r>
        <w:t>5.2 Dr Kielich asked what happens to the return if the plugs are 10 percentage points less utilised than planned. The CFO said payback would lengthen from 4.6 to 5.4 years. Dr Kielich said he would abstain because he considered the business case thin on the downside, although he supported the strategic direction.</w:t>
      </w:r>
    </w:p>
    <w:p>
      <w:r>
        <w:rPr>
          <w:b/>
        </w:rPr>
        <w:t>Resolution BR-2024-06-03.</w:t>
      </w:r>
      <w:r>
        <w:t xml:space="preserve"> The Board approves capital expenditure of EUR 3,400,000 for phase 1 of the plug racks at RTM-3. </w:t>
      </w:r>
      <w:r>
        <w:rPr>
          <w:i/>
        </w:rPr>
        <w:t>Votes: for 4, against 0, abstentions 1 (Dr Kielich). Carried.</w:t>
      </w:r>
    </w:p>
    <w:p>
      <w:pPr>
        <w:pStyle w:val="Heading3"/>
      </w:pPr>
      <w:r>
        <w:t>6 Travel and Expense Policy, version 3.1</w:t>
      </w:r>
    </w:p>
    <w:p>
      <w:r>
        <w:t>6.1 The CFO presented version 3.1 of the policy (document FIN-POL-007), which supersedes version 2.4. The principal changes are the increase of the business-class threshold from 5 to 6 hours, the lengthening of the advance booking period from 10 to 14 days, the increase of the private-car rate to PLN 1.15 per kilometre from PLN 0.89, and the shortening of the claim period from 30 to 14 days. Mr Wrzesiński asked whether the 14-day booking rule could be waived for engineers called out to depots; the CFO said exceptions are for her to grant in writing.</w:t>
      </w:r>
    </w:p>
    <w:p>
      <w:r>
        <w:rPr>
          <w:b/>
        </w:rPr>
        <w:t>Resolution BR-2024-06-04.</w:t>
      </w:r>
      <w:r>
        <w:t xml:space="preserve"> The Board approves the Travel and Expense Policy, version 3.1, with effect from 1 July 2024. </w:t>
      </w:r>
      <w:r>
        <w:rPr>
          <w:i/>
        </w:rPr>
        <w:t>Votes: for 5, against 0, abstentions 0. Carried.</w:t>
      </w:r>
    </w:p>
    <w:p>
      <w:pPr>
        <w:pStyle w:val="Heading3"/>
      </w:pPr>
      <w:r>
        <w:t>7 Interest-rate hedging</w:t>
      </w:r>
    </w:p>
    <w:p>
      <w:r>
        <w:t>7.1 Following the request recorded in the Annual Report, the CFO proposed to fix part of the floating interest cost. The proposal is a five-year interest-rate swap with Nordhafen Bank AG, notional EUR 22.5m, under which Korvane pays a fixed rate of 2.87% and receives three-month EURIBOR, effective 1 July 2024 and maturing on 30 June 2029. The notional is approximately 56% of the term loan balance of EUR 40.5m on the date of the meeting.</w:t>
      </w:r>
    </w:p>
    <w:p>
      <w:r>
        <w:t>7.2 Mr Ahlbeck-Roe asked about break costs if the loan is refinanced early. The CFO replied that the swap would be marked to market and that the amount could be positive or negative.</w:t>
      </w:r>
    </w:p>
    <w:p>
      <w:r>
        <w:rPr>
          <w:b/>
        </w:rPr>
        <w:t>Resolution BR-2024-06-05.</w:t>
      </w:r>
      <w:r>
        <w:t xml:space="preserve"> The Board approves the interest-rate swap described in paragraph 7.1 and authorises the CFO and the CEO jointly to sign the ISDA documentation. </w:t>
      </w:r>
      <w:r>
        <w:rPr>
          <w:i/>
        </w:rPr>
        <w:t>Votes: for 5, against 0, abstentions 0. Carried.</w:t>
      </w:r>
    </w:p>
    <w:p>
      <w:pPr>
        <w:pStyle w:val="Heading3"/>
      </w:pPr>
      <w:r>
        <w:t>8 Budget 2025: process and status of lender figures</w:t>
      </w:r>
    </w:p>
    <w:p>
      <w:r>
        <w:t xml:space="preserve">8.1 The CFO set out the timetable for the 2025 budget: first draft in September, a working version for the lender discussion in October, and final adoption by the Board in December. Dr Kielich insisted that figures shown to the lenders before December must be described as work in progress and be </w:t>
      </w:r>
      <w:r>
        <w:rPr>
          <w:i/>
        </w:rPr>
        <w:t>noted</w:t>
      </w:r>
      <w:r>
        <w:t xml:space="preserve"> by the Board rather than approved, because only the full Board can approve the budget after the shareholders' reserved-matters list has been checked. The Chair agreed.</w:t>
      </w:r>
    </w:p>
    <w:p>
      <w:r>
        <w:rPr>
          <w:b/>
        </w:rPr>
        <w:t>Resolution BR-2024-06-06.</w:t>
      </w:r>
      <w:r>
        <w:t xml:space="preserve"> The Board resolves that preliminary budget versions for 2025 are to be noted, not approved, and that adoption of the budget is reserved for the Board meeting in December 2024. </w:t>
      </w:r>
      <w:r>
        <w:rPr>
          <w:i/>
        </w:rPr>
        <w:t>Votes: for 5, against 0, abstentions 0. Carried.</w:t>
      </w:r>
    </w:p>
    <w:p>
      <w:pPr>
        <w:pStyle w:val="Heading3"/>
      </w:pPr>
      <w:r>
        <w:t>9 Head-office lease: indexation from 1 July 2024</w:t>
      </w:r>
    </w:p>
    <w:p>
      <w:r>
        <w:t>9.1 Mr Ahlbeck-Roe left the room. The Board Secretary reported that the lease of ul. Łużycka 14 with Ahlbeck-Roe Nieruchomości Sp. z o.o. provides for annual indexation by the Polish consumer price index of the previous twelve months, capped at 4.0%; the applicable index figure was 3.4%. The monthly rent would therefore rise from EUR 31,400 to EUR 32,468 with effect from 1 July 2024. The independent valuation of 2022 had been refreshed by a desktop update and supported the resulting rent.</w:t>
      </w:r>
    </w:p>
    <w:p>
      <w:r>
        <w:rPr>
          <w:b/>
        </w:rPr>
        <w:t>Resolution BR-2024-06-07.</w:t>
      </w:r>
      <w:r>
        <w:t xml:space="preserve"> The Board approves the indexation of the monthly rent for ul. Łużycka 14 to EUR 32,468 with effect from 1 July 2024. </w:t>
      </w:r>
      <w:r>
        <w:rPr>
          <w:i/>
        </w:rPr>
        <w:t>Votes: for 4, against 0, abstentions 0 (Mr Ahlbeck-Roe absent from the vote). Carried.</w:t>
      </w:r>
    </w:p>
    <w:p>
      <w:pPr>
        <w:pStyle w:val="Heading3"/>
      </w:pPr>
      <w:r>
        <w:t>10 External audit</w:t>
      </w:r>
    </w:p>
    <w:p>
      <w:r>
        <w:t>10.1 The Chair, reporting for the Audit Committee, said that the Committee had reviewed the auditor's management letter of 23 April 2024, which contains nine findings (one rated High, four Medium, four Low). Owners and due dates have been agreed with management and the Committee will track them quarterly. The Committee recommends that Aldermoor Kessler Audit Sp. z o.o. be proposed to the shareholders for the audit of the 2024 financial statements at a fee of EUR 156,000 (2023: EUR 148,000).</w:t>
      </w:r>
    </w:p>
    <w:p>
      <w:r>
        <w:rPr>
          <w:b/>
        </w:rPr>
        <w:t>Resolution BR-2024-06-08.</w:t>
      </w:r>
      <w:r>
        <w:t xml:space="preserve"> The Board resolves to propose Aldermoor Kessler Audit Sp. z o.o. to the shareholders for the audit of the 2024 financial statements at a fee of EUR 156,000. </w:t>
      </w:r>
      <w:r>
        <w:rPr>
          <w:i/>
        </w:rPr>
        <w:t>Votes: for 5, against 0, abstentions 0. Carried.</w:t>
      </w:r>
    </w:p>
    <w:p>
      <w:pPr>
        <w:pStyle w:val="Heading3"/>
      </w:pPr>
      <w:r>
        <w:t>11 Any other business</w:t>
      </w:r>
    </w:p>
    <w:p>
      <w:r>
        <w:t>11.1 Ms Kowarzik reported that the ISO 22000 recertification audit has been scheduled for 14 to 18 October 2024.</w:t>
      </w:r>
    </w:p>
    <w:p>
      <w:r>
        <w:t>11.2 The next Board meetings are fixed for 12 September, 24 October and 12 December 2024. The October meeting will receive the Q3 pack.</w:t>
      </w:r>
    </w:p>
    <w:p>
      <w:r>
        <w:t>11.3 There being no other business, the Chair closed the meeting at 13:25.</w:t>
      </w:r>
    </w:p>
    <w:p>
      <w:pPr>
        <w:pStyle w:val="Heading3"/>
      </w:pPr>
      <w:r>
        <w:t>Schedule of actions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rPr>
          <w:cantSplit/>
        </w:trPr>
        <w:tc>
          <w:tcPr>
            <w:tcW w:type="dxa" w:w="2160"/>
          </w:tcPr>
          <w:p>
            <w:r>
              <w:t>1</w:t>
            </w:r>
          </w:p>
        </w:tc>
        <w:tc>
          <w:tcPr>
            <w:tcW w:type="dxa" w:w="2160"/>
          </w:tcPr>
          <w:p>
            <w:r>
              <w:t>Show covenant headroom as ratio and as % EBITDA fall in the Board pack</w:t>
            </w:r>
          </w:p>
        </w:tc>
        <w:tc>
          <w:tcPr>
            <w:tcW w:type="dxa" w:w="2160"/>
          </w:tcPr>
          <w:p>
            <w:r>
              <w:t>Priya Venkataraman-Holt</w:t>
            </w:r>
          </w:p>
        </w:tc>
        <w:tc>
          <w:tcPr>
            <w:tcW w:type="dxa" w:w="2160"/>
          </w:tcPr>
          <w:p>
            <w:r>
              <w:t>24 October 2024</w:t>
            </w:r>
          </w:p>
        </w:tc>
      </w:tr>
      <w:tr>
        <w:trPr>
          <w:cantSplit/>
        </w:trPr>
        <w:tc>
          <w:tcPr>
            <w:tcW w:type="dxa" w:w="2160"/>
          </w:tcPr>
          <w:p>
            <w:r>
              <w:t>2</w:t>
            </w:r>
          </w:p>
        </w:tc>
        <w:tc>
          <w:tcPr>
            <w:tcW w:type="dxa" w:w="2160"/>
          </w:tcPr>
          <w:p>
            <w:r>
              <w:t>Review all customer correspondence on Oakhaven for the word "settlement"</w:t>
            </w:r>
          </w:p>
        </w:tc>
        <w:tc>
          <w:tcPr>
            <w:tcW w:type="dxa" w:w="2160"/>
          </w:tcPr>
          <w:p>
            <w:r>
              <w:t>Sofia Brandão</w:t>
            </w:r>
          </w:p>
        </w:tc>
        <w:tc>
          <w:tcPr>
            <w:tcW w:type="dxa" w:w="2160"/>
          </w:tcPr>
          <w:p>
            <w:r>
              <w:t>5 July 2024</w:t>
            </w:r>
          </w:p>
        </w:tc>
      </w:tr>
      <w:tr>
        <w:trPr>
          <w:cantSplit/>
        </w:trPr>
        <w:tc>
          <w:tcPr>
            <w:tcW w:type="dxa" w:w="2160"/>
          </w:tcPr>
          <w:p>
            <w:r>
              <w:t>3</w:t>
            </w:r>
          </w:p>
        </w:tc>
        <w:tc>
          <w:tcPr>
            <w:tcW w:type="dxa" w:w="2160"/>
          </w:tcPr>
          <w:p>
            <w:r>
              <w:t>Issue the tender for phase 1 plug racks (three bids)</w:t>
            </w:r>
          </w:p>
        </w:tc>
        <w:tc>
          <w:tcPr>
            <w:tcW w:type="dxa" w:w="2160"/>
          </w:tcPr>
          <w:p>
            <w:r>
              <w:t>Hanneke Dijkgraaf</w:t>
            </w:r>
          </w:p>
        </w:tc>
        <w:tc>
          <w:tcPr>
            <w:tcW w:type="dxa" w:w="2160"/>
          </w:tcPr>
          <w:p>
            <w:r>
              <w:t>15 July 2024</w:t>
            </w:r>
          </w:p>
        </w:tc>
      </w:tr>
      <w:tr>
        <w:trPr>
          <w:cantSplit/>
        </w:trPr>
        <w:tc>
          <w:tcPr>
            <w:tcW w:type="dxa" w:w="2160"/>
          </w:tcPr>
          <w:p>
            <w:r>
              <w:t>4</w:t>
            </w:r>
          </w:p>
        </w:tc>
        <w:tc>
          <w:tcPr>
            <w:tcW w:type="dxa" w:w="2160"/>
          </w:tcPr>
          <w:p>
            <w:r>
              <w:t>Sign ISDA documentation for the swap</w:t>
            </w:r>
          </w:p>
        </w:tc>
        <w:tc>
          <w:tcPr>
            <w:tcW w:type="dxa" w:w="2160"/>
          </w:tcPr>
          <w:p>
            <w:r>
              <w:t>Priya Venkataraman-Holt and Marta Kowarzik</w:t>
            </w:r>
          </w:p>
        </w:tc>
        <w:tc>
          <w:tcPr>
            <w:tcW w:type="dxa" w:w="2160"/>
          </w:tcPr>
          <w:p>
            <w:r>
              <w:t>28 June 2024</w:t>
            </w:r>
          </w:p>
        </w:tc>
      </w:tr>
      <w:tr>
        <w:trPr>
          <w:cantSplit/>
        </w:trPr>
        <w:tc>
          <w:tcPr>
            <w:tcW w:type="dxa" w:w="2160"/>
          </w:tcPr>
          <w:p>
            <w:r>
              <w:t>5</w:t>
            </w:r>
          </w:p>
        </w:tc>
        <w:tc>
          <w:tcPr>
            <w:tcW w:type="dxa" w:w="2160"/>
          </w:tcPr>
          <w:p>
            <w:r>
              <w:t>Correct paragraph 6.2 of the April minutes</w:t>
            </w:r>
          </w:p>
        </w:tc>
        <w:tc>
          <w:tcPr>
            <w:tcW w:type="dxa" w:w="2160"/>
          </w:tcPr>
          <w:p>
            <w:r>
              <w:t>Agnieszka Przybylska-Nyström</w:t>
            </w:r>
          </w:p>
        </w:tc>
        <w:tc>
          <w:tcPr>
            <w:tcW w:type="dxa" w:w="2160"/>
          </w:tcPr>
          <w:p>
            <w:r>
              <w:t>5 July 2024</w:t>
            </w:r>
          </w:p>
        </w:tc>
      </w:tr>
    </w:tbl>
    <w:p/>
    <w:p>
      <w:r>
        <w:t>Signed: Ulrika Stenmark-Doyle, Chair · Agnieszka Przybylska-Nyström, Board Secretary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