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LEASE SUMMARY — GDY-1 YARD (PARCEL 214/6)</w:t>
      </w:r>
    </w:p>
    <w:p>
      <w:r>
        <w:t>Internal note, Legal. Prepared by Sofia Brandão, last updated 17 January 2024 after the facilities call with Jarek Lindqvist. Status: working summary only; the lease deed and its three annexes are the authority. If this summary and the deed disagree, the deed wins and please tell me so I can fix this page.</w:t>
      </w:r>
    </w:p>
    <w:p>
      <w:pPr>
        <w:pStyle w:val="Heading2"/>
      </w:pPr>
      <w:r>
        <w:t>1. The basics</w:t>
      </w:r>
    </w:p>
    <w:p>
      <w:r>
        <w:t>The yard that everybody calls "the Mothership's back lot" is leased, not owned. We own nothing of it but the reefer plug banks and the gate cabin. The lease was signed on 22 May 2018 in the form of a notarial deed before a Gdynia notary, with a submission by Korvane to enforcement for the rent, which is standard here and should not scare anyone. Landlord is Portowa Dzierżawa Gdynia Sp. z o.o. ("the Landlord"), contact on their side Leszek Barnaś (managing director) and, for day-to-day, the property manager Aldona Wrzosek.</w:t>
      </w:r>
    </w:p>
    <w:p>
      <w:r>
        <w:t>The lease started on 1 July 2018 (the "Commencement Date") and runs for 10 years, so it ends on 30 June 2028. It is entered in the land and mortgage register under KW GD1Y/00041238/7, which matters because the Landlord's possible sale of the parcel would bind the buyer to our lease.</w:t>
      </w:r>
    </w:p>
    <w:p>
      <w:r>
        <w:t>The premises are: 18,640 m² of paved yard, a 1,120 m² warehouse hall used as the cross-dock and tool store, and two reefer plug banks with 240 sockets in total (the plug banks belong to Korvane since we installed them in 2018 and 2020; see section 5).</w:t>
      </w:r>
    </w:p>
    <w:p>
      <w:pPr>
        <w:pStyle w:val="Heading2"/>
      </w:pPr>
      <w:r>
        <w:t>2. Rent</w:t>
      </w:r>
    </w:p>
    <w:p>
      <w:r>
        <w:t>Base rent is stated in EUR, net of VAT, and paid monthly in advance by the 5th day of the month, in PLN converted at the mid rate of the National Bank of Poland for the last Business Day before the date of the Landlord's invoice. The lease has fixed rent steps on each 1 July; there is no separate inflation indexation on top of them. Our own view in 2018 was that the steps were generous to the Landlord in the first half and fair thereafter.</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tcPr>
          <w:p>
            <w:r>
              <w:rPr>
                <w:b/>
              </w:rPr>
              <w:t>Lease year</w:t>
            </w:r>
          </w:p>
        </w:tc>
        <w:tc>
          <w:tcPr>
            <w:tcW w:type="dxa" w:w="2880"/>
          </w:tcPr>
          <w:p>
            <w:r>
              <w:rPr>
                <w:b/>
              </w:rPr>
              <w:t>Period</w:t>
            </w:r>
          </w:p>
        </w:tc>
        <w:tc>
          <w:tcPr>
            <w:tcW w:type="dxa" w:w="2880"/>
          </w:tcPr>
          <w:p>
            <w:r>
              <w:rPr>
                <w:b/>
              </w:rPr>
              <w:t>Monthly base rent (EUR)</w:t>
            </w:r>
          </w:p>
        </w:tc>
      </w:tr>
      <w:tr>
        <w:trPr>
          <w:cantSplit/>
        </w:trPr>
        <w:tc>
          <w:tcPr>
            <w:tcW w:type="dxa" w:w="2880"/>
          </w:tcPr>
          <w:p>
            <w:r>
              <w:t>1 and 2</w:t>
            </w:r>
          </w:p>
        </w:tc>
        <w:tc>
          <w:tcPr>
            <w:tcW w:type="dxa" w:w="2880"/>
          </w:tcPr>
          <w:p>
            <w:r>
              <w:t>1 July 2018 – 30 June 2020</w:t>
            </w:r>
          </w:p>
        </w:tc>
        <w:tc>
          <w:tcPr>
            <w:tcW w:type="dxa" w:w="2880"/>
          </w:tcPr>
          <w:p>
            <w:r>
              <w:t>38,400</w:t>
            </w:r>
          </w:p>
        </w:tc>
      </w:tr>
      <w:tr>
        <w:trPr>
          <w:cantSplit/>
        </w:trPr>
        <w:tc>
          <w:tcPr>
            <w:tcW w:type="dxa" w:w="2880"/>
          </w:tcPr>
          <w:p>
            <w:r>
              <w:t>3 and 4</w:t>
            </w:r>
          </w:p>
        </w:tc>
        <w:tc>
          <w:tcPr>
            <w:tcW w:type="dxa" w:w="2880"/>
          </w:tcPr>
          <w:p>
            <w:r>
              <w:t>1 July 2020 – 30 June 2022</w:t>
            </w:r>
          </w:p>
        </w:tc>
        <w:tc>
          <w:tcPr>
            <w:tcW w:type="dxa" w:w="2880"/>
          </w:tcPr>
          <w:p>
            <w:r>
              <w:t>41,150</w:t>
            </w:r>
          </w:p>
        </w:tc>
      </w:tr>
      <w:tr>
        <w:trPr>
          <w:cantSplit/>
        </w:trPr>
        <w:tc>
          <w:tcPr>
            <w:tcW w:type="dxa" w:w="2880"/>
          </w:tcPr>
          <w:p>
            <w:r>
              <w:t>5 and 6</w:t>
            </w:r>
          </w:p>
        </w:tc>
        <w:tc>
          <w:tcPr>
            <w:tcW w:type="dxa" w:w="2880"/>
          </w:tcPr>
          <w:p>
            <w:r>
              <w:t>1 July 2022 – 30 June 2024</w:t>
            </w:r>
          </w:p>
        </w:tc>
        <w:tc>
          <w:tcPr>
            <w:tcW w:type="dxa" w:w="2880"/>
          </w:tcPr>
          <w:p>
            <w:r>
              <w:t>43,900</w:t>
            </w:r>
          </w:p>
        </w:tc>
      </w:tr>
      <w:tr>
        <w:trPr>
          <w:cantSplit/>
        </w:trPr>
        <w:tc>
          <w:tcPr>
            <w:tcW w:type="dxa" w:w="2880"/>
          </w:tcPr>
          <w:p>
            <w:r>
              <w:t>7 and 8</w:t>
            </w:r>
          </w:p>
        </w:tc>
        <w:tc>
          <w:tcPr>
            <w:tcW w:type="dxa" w:w="2880"/>
          </w:tcPr>
          <w:p>
            <w:r>
              <w:t>1 July 2024 – 30 June 2026</w:t>
            </w:r>
          </w:p>
        </w:tc>
        <w:tc>
          <w:tcPr>
            <w:tcW w:type="dxa" w:w="2880"/>
          </w:tcPr>
          <w:p>
            <w:r>
              <w:t>46,650</w:t>
            </w:r>
          </w:p>
        </w:tc>
      </w:tr>
      <w:tr>
        <w:trPr>
          <w:cantSplit/>
        </w:trPr>
        <w:tc>
          <w:tcPr>
            <w:tcW w:type="dxa" w:w="2880"/>
          </w:tcPr>
          <w:p>
            <w:r>
              <w:t>9 and 10</w:t>
            </w:r>
          </w:p>
        </w:tc>
        <w:tc>
          <w:tcPr>
            <w:tcW w:type="dxa" w:w="2880"/>
          </w:tcPr>
          <w:p>
            <w:r>
              <w:t>1 July 2026 – 30 June 2028</w:t>
            </w:r>
          </w:p>
        </w:tc>
        <w:tc>
          <w:tcPr>
            <w:tcW w:type="dxa" w:w="2880"/>
          </w:tcPr>
          <w:p>
            <w:r>
              <w:t>49,400</w:t>
            </w:r>
          </w:p>
        </w:tc>
      </w:tr>
    </w:tbl>
    <w:p/>
    <w:p>
      <w:r>
        <w:t>The service charge (insurance of the buildings, fence, lighting of the access road, snow clearance of the shared road) is EUR 3,180 a month, reviewed once a year by the Landlord with 30 days' notice and not to rise by more than 6% in a year without our consent. Electricity for the reefer sockets is not part of it: it is metered at the sub-meter in each plug bank and recharged at the Landlord's cost price plus an administration fee of 4%. Jarek's note on the sockets: in July the electricity recharge alone was running higher than the service charge, so please do not read the service charge line as "the cost of the yard".</w:t>
      </w:r>
    </w:p>
    <w:p>
      <w:r>
        <w:t>A rent-free fit-out period of 3 months, from 1 July 2018 to 30 September 2018, was granted for the installation of the first plug bank; it is mentioned here only because the first invoice date was therefore 1 October 2018, which is the date Finance still uses when it checks the history.</w:t>
      </w:r>
    </w:p>
    <w:p>
      <w:pPr>
        <w:pStyle w:val="Heading2"/>
      </w:pPr>
      <w:r>
        <w:t>3. Deposit and security</w:t>
      </w:r>
    </w:p>
    <w:p>
      <w:r>
        <w:t>Instead of a cash deposit Korvane gave the Landlord a bank guarantee of EUR 115,200, which is three months of the year-1 rent. It must stay in force until 30 September 2028, that is, 3 months after the end of the term, and it may be drawn only on the Landlord's statement that an undisputed sum is overdue by more than 21 days. The guarantee fee is paid by Finance each December to the bank.</w:t>
      </w:r>
    </w:p>
    <w:p>
      <w:pPr>
        <w:pStyle w:val="Heading2"/>
      </w:pPr>
      <w:r>
        <w:t>4. Term options: break, renewal and the neighbouring parcel</w:t>
      </w:r>
    </w:p>
    <w:p>
      <w:r>
        <w:t>Break. Korvane (the Tenant) alone has a break option on 30 June 2026, which is the end of lease year 8. To use it we must give the Landlord not less than 9 months' written notice, therefore by 30 September 2025 at the latest, sent by registered letter to the address in the deed. The break is conditional on (a) no rent being in arrears on the date of the notice and the break date, (b) Korvane giving up the whole premises with vacant possession, and (c) payment, with the notice, of a break fee equal to 4 months' base rent at the rate then payable, that is EUR 186,600 at the year-7 and year-8 rent of EUR 46,650. The Landlord has no break right. As of today the board has not decided, and Jarek's utilisation figure for the yard is 87% in 2023, so my expectation is that we will not break; but I want the question on the agenda of the autumn 2025 board meeting so that nobody discovers the deadline in October.</w:t>
      </w:r>
    </w:p>
    <w:p>
      <w:r>
        <w:t>Renewal. The Tenant has a one-off option to extend the lease by 5 years, to 30 June 2033, by written notice given not later than 30 June 2027 (12 months before expiry). Rent in the extension period is to be agreed at market level but not less than the year-10 rent of EUR 49,400 and not more than 110% of it; failing agreement, an expert appointed by the president of the Pomeranian Chamber of Chartered Surveyors decides, each side paying half of the expert's fee.</w:t>
      </w:r>
    </w:p>
    <w:p>
      <w:r>
        <w:t>Neighbouring parcel. The Tenant has a right of first offer over the adjacent Parcel 214/7 (6,200 m²) if the Landlord decides to let or sell it during the term. The Landlord must offer it to Korvane in writing and Korvane has 30 days to accept the offer on the same terms; if it does not, the Landlord may sell or let to a third party at not less than 95% of the price offered to us, within 9 months. This right of first offer has never yet been triggered.</w:t>
      </w:r>
    </w:p>
    <w:p>
      <w:pPr>
        <w:pStyle w:val="Heading2"/>
      </w:pPr>
      <w:r>
        <w:t>5. Repairs, maintenance and reinstatement</w:t>
      </w:r>
    </w:p>
    <w:p>
      <w:r>
        <w:t>Landlord: structure of the hall, roof, the main drainage and the perimeter fence, and the repair of structural defects of the yard surface. Where the yard surface settles by more than 40 mm over any 10 m measured length, resurfacing of that area is for the Landlord's cost.</w:t>
      </w:r>
    </w:p>
    <w:p>
      <w:r>
        <w:t>Tenant: all internal repairs of the hall, the plug banks and their cabling, the gate cabin, lighting of the yard, pest control and the cleaning of the yard drains twice a year. Surface wear and local damage to the paving caused by container handling is for the Tenant up to EUR 22,000 per lease year in total; above that, the Landlord pays. Potholes and cracks wider than 15 mm that endanger handling equipment must be repaired by the Tenant within 14 days after notice or discovery, whichever is first, and within 48 hours where a pothole stops traffic on the main lane.</w:t>
      </w:r>
    </w:p>
    <w:p>
      <w:r>
        <w:t>Reinstatement at the end. At expiry or termination Korvane shall remove the 240 reefer sockets and the cabling and make good the surface, unless the Landlord elects, by notice given at least 6 months before the end, to keep the plug banks, in which case no payment is due either way. Korvane keeps a reinstatement reserve of EUR 60,000 in its accounts for this purpose; the Landlord has no claim on it.</w:t>
      </w:r>
    </w:p>
    <w:p>
      <w:pPr>
        <w:pStyle w:val="Heading2"/>
      </w:pPr>
      <w:r>
        <w:t>6. Use, operations and insurance</w:t>
      </w:r>
    </w:p>
    <w:p>
      <w:r>
        <w:t>Permitted use: storage and handling of containers, reefer plug-in, loading and unloading, light vehicle maintenance, 24 hours a day, 7 days a week. The lease prohibits dangerous goods of classes 1, 4.3, 5.2 and 7 on the premises, and limits Class 3 liquids to 2,000 litres in total, in the fuel cabinet next to the gate cabin. The Landlord has the right to inspect on 3 Business Days' notice, and at any time in an emergency.</w:t>
      </w:r>
    </w:p>
    <w:p>
      <w:r>
        <w:t>Korvane must insure its own property and its liability to third parties on the premises, with a liability limit of not less than EUR 3,000,000 per claim, and must send the certificate to the Landlord each January. The Landlord insures the hall and recharges the premium through the service charge.</w:t>
      </w:r>
    </w:p>
    <w:p>
      <w:r>
        <w:t>Assignment and subletting need the Landlord's written consent, which may not be unreasonably withheld; a transfer to a company in Korvane's group needs only notice within 14 days.</w:t>
      </w:r>
    </w:p>
    <w:p>
      <w:pPr>
        <w:pStyle w:val="Heading2"/>
      </w:pPr>
      <w:r>
        <w:t>7. To do</w:t>
      </w:r>
    </w:p>
    <w:p>
      <w:r>
        <w:t>TODO for Legal (SB): (1) calendar the break deadline of 30 September 2025 and the renewal deadline of 30 June 2027, with reminders 90 days and 30 days before each; (2) ask Finance whether the bank guarantee fee has changed since 2021; (3) check with Facilities whether the second plug bank, installed in 2020, was ever notified to the Landlord, as the deed requires within 30 days after installation — I have not found the letter.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