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OCTOPUS-7741 — Spec</w:t>
      </w:r>
    </w:p>
    <w:p>
      <w:r>
        <w:t>Date: 2026-09-10</w:t>
      </w:r>
    </w:p>
    <w:p>
      <w:r>
        <w:t>Owner: @genor</w:t>
      </w:r>
    </w:p>
    <w:p>
      <w:r>
        <w:t>Reviewer: @platform-infra</w:t>
      </w:r>
    </w:p>
    <w:p>
      <w:pPr>
        <w:pStyle w:val="Heading1"/>
      </w:pPr>
      <w:r>
        <w:t>Goals</w:t>
      </w:r>
    </w:p>
    <w:p>
      <w:r>
        <w:t>VRAM steady-state ≤ 22 GiB on RTX 3090.</w:t>
      </w:r>
    </w:p>
    <w:p>
      <w:r>
        <w:t>Unload regression fixed (commit a34c08b).</w:t>
      </w:r>
    </w:p>
    <w:p>
      <w:r>
        <w:t>External-API fields stay hidden when Local provider is selected (11d4cbc).</w:t>
      </w:r>
    </w:p>
    <w:p>
      <w:r>
        <w:t>Project code needle: OCTOPUS-7741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