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655B9" w14:textId="77777777" w:rsidR="00132034" w:rsidRDefault="00502BAC">
      <w:pPr>
        <w:pStyle w:val="Title"/>
      </w:pPr>
      <w:r>
        <w:rPr>
          <w:w w:val="125"/>
        </w:rPr>
        <w:t>Dissertation Abstract</w:t>
      </w:r>
    </w:p>
    <w:p w14:paraId="570A619E" w14:textId="6FF94CFE" w:rsidR="00132034" w:rsidRDefault="00B673E0">
      <w:pPr>
        <w:pStyle w:val="BodyText"/>
        <w:spacing w:before="191"/>
        <w:ind w:left="1867" w:right="1764"/>
        <w:jc w:val="center"/>
      </w:pPr>
      <w:r>
        <w:rPr>
          <w:rFonts w:ascii="Times New Roman"/>
          <w:w w:val="110"/>
          <w:sz w:val="41"/>
        </w:rPr>
        <w:t>Prajjwal Tawri</w:t>
      </w:r>
      <w:r w:rsidR="00502BAC">
        <w:rPr>
          <w:w w:val="110"/>
        </w:rPr>
        <w:t>; Roll No.- 1810</w:t>
      </w:r>
      <w:r>
        <w:rPr>
          <w:w w:val="110"/>
        </w:rPr>
        <w:t>0039</w:t>
      </w:r>
      <w:r w:rsidR="00502BAC">
        <w:rPr>
          <w:w w:val="110"/>
        </w:rPr>
        <w:t xml:space="preserve">, Semester-VIII, </w:t>
      </w:r>
      <w:r>
        <w:rPr>
          <w:w w:val="110"/>
        </w:rPr>
        <w:t>CSE</w:t>
      </w:r>
      <w:r w:rsidR="00502BAC">
        <w:rPr>
          <w:w w:val="110"/>
        </w:rPr>
        <w:t>-2018</w:t>
      </w:r>
    </w:p>
    <w:p w14:paraId="42E8ECAD" w14:textId="20A6B653" w:rsidR="00132034" w:rsidRDefault="00B673E0">
      <w:pPr>
        <w:ind w:left="1746" w:right="1764"/>
        <w:jc w:val="center"/>
        <w:rPr>
          <w:rFonts w:ascii="Caladea"/>
          <w:b/>
          <w:sz w:val="28"/>
        </w:rPr>
      </w:pPr>
      <w:r>
        <w:rPr>
          <w:rFonts w:ascii="Caladea"/>
          <w:b/>
          <w:sz w:val="28"/>
        </w:rPr>
        <w:t>OG Health</w:t>
      </w:r>
    </w:p>
    <w:p w14:paraId="7CCC902C" w14:textId="77777777" w:rsidR="00132034" w:rsidRDefault="00502BAC">
      <w:pPr>
        <w:pStyle w:val="BodyText"/>
        <w:spacing w:before="192"/>
        <w:ind w:left="1865" w:right="1764"/>
        <w:jc w:val="center"/>
      </w:pPr>
      <w:r>
        <w:rPr>
          <w:w w:val="110"/>
        </w:rPr>
        <w:t>(Un-der the supervision of Mr. Hari</w:t>
      </w:r>
      <w:r>
        <w:rPr>
          <w:spacing w:val="52"/>
          <w:w w:val="110"/>
        </w:rPr>
        <w:t xml:space="preserve"> </w:t>
      </w:r>
      <w:r>
        <w:rPr>
          <w:w w:val="110"/>
        </w:rPr>
        <w:t>Menon).</w:t>
      </w:r>
    </w:p>
    <w:p w14:paraId="4EC3D455" w14:textId="77777777" w:rsidR="00132034" w:rsidRDefault="00132034">
      <w:pPr>
        <w:pStyle w:val="BodyText"/>
        <w:ind w:left="0"/>
      </w:pPr>
    </w:p>
    <w:p w14:paraId="49B58D88" w14:textId="77777777" w:rsidR="00132034" w:rsidRDefault="00132034">
      <w:pPr>
        <w:pStyle w:val="BodyText"/>
        <w:spacing w:before="8"/>
        <w:ind w:left="0"/>
      </w:pPr>
    </w:p>
    <w:p w14:paraId="24685082" w14:textId="508653C5" w:rsidR="00B673E0" w:rsidRPr="00B673E0" w:rsidRDefault="00B709C9" w:rsidP="00B673E0">
      <w:pPr>
        <w:widowControl/>
        <w:adjustRightInd w:val="0"/>
        <w:rPr>
          <w:rFonts w:eastAsia="CMR17" w:cs="CMR17" w:hint="eastAsia"/>
        </w:rPr>
      </w:pPr>
      <w:r>
        <w:rPr>
          <w:rFonts w:eastAsia="CMR17" w:cs="CMR17"/>
          <w:sz w:val="32"/>
          <w:szCs w:val="32"/>
        </w:rPr>
        <w:t>A</w:t>
      </w:r>
      <w:r w:rsidR="00B673E0" w:rsidRPr="00B673E0">
        <w:rPr>
          <w:rFonts w:eastAsia="CMR17" w:cs="CMR17"/>
        </w:rPr>
        <w:t>I is now able to interact and understand cryptic clues and respond to questions that were essentially in unstructured format plain English. What this demonstrated was that AI was capable of ”understanding” a question, refer vast amounts of data to obtain information, hypothesize, evaluate and then arrive at the most appropriate answer. We live in a world where 90 publications around the world and the vast repository of medical guidelines and protocols that keeps expanding and updating every year. We haven’t been leveraging that vast expanse of unstructured data to make decisions</w:t>
      </w:r>
      <w:r>
        <w:rPr>
          <w:rFonts w:eastAsia="CMR17" w:cs="CMR17"/>
        </w:rPr>
        <w:t>.</w:t>
      </w:r>
      <w:r w:rsidR="00B673E0" w:rsidRPr="00B673E0">
        <w:rPr>
          <w:rFonts w:eastAsia="CMR17" w:cs="CMR17"/>
        </w:rPr>
        <w:t xml:space="preserve"> There’s a tremendous amount of information that is collected every day on the care of hundreds of millions of people . However, there is currently no way to connect that information, to link it to an individual across all the domains in which they get care, and the n to develop a holistic</w:t>
      </w:r>
      <w:r>
        <w:rPr>
          <w:rFonts w:eastAsia="CMR17" w:cs="CMR17"/>
        </w:rPr>
        <w:t xml:space="preserve"> </w:t>
      </w:r>
      <w:r w:rsidR="00B673E0" w:rsidRPr="00B673E0">
        <w:rPr>
          <w:rFonts w:eastAsia="CMR17" w:cs="CMR17"/>
        </w:rPr>
        <w:t xml:space="preserve">picture of who they are, disease profile and the best treatments for their situation at the lowest possible cost. Healthcare is a three trillion dollar </w:t>
      </w:r>
      <w:r>
        <w:rPr>
          <w:rFonts w:eastAsia="CMR17" w:cs="CMR17"/>
        </w:rPr>
        <w:t xml:space="preserve">business </w:t>
      </w:r>
      <w:r w:rsidR="00B673E0" w:rsidRPr="00B673E0">
        <w:rPr>
          <w:rFonts w:eastAsia="CMR17" w:cs="CMR17"/>
        </w:rPr>
        <w:t>and one of the biggest parts of our economy that has legacy technology infrastructure. OG Health leverages the power of AI to deliver better and customized patient care based on evidence based data. Consider this scenario:</w:t>
      </w:r>
    </w:p>
    <w:p w14:paraId="50E55F4C" w14:textId="77777777" w:rsidR="00B673E0" w:rsidRPr="00B673E0" w:rsidRDefault="00B673E0" w:rsidP="00B673E0">
      <w:pPr>
        <w:widowControl/>
        <w:adjustRightInd w:val="0"/>
        <w:rPr>
          <w:rFonts w:eastAsia="CMR17" w:cs="CMR17" w:hint="eastAsia"/>
        </w:rPr>
      </w:pPr>
    </w:p>
    <w:p w14:paraId="2DA9B973" w14:textId="2D61155C" w:rsidR="00B673E0" w:rsidRPr="00B709C9" w:rsidRDefault="00B673E0" w:rsidP="00B709C9">
      <w:pPr>
        <w:widowControl/>
        <w:adjustRightInd w:val="0"/>
        <w:rPr>
          <w:rFonts w:eastAsia="CMR17" w:cs="CMR17" w:hint="eastAsia"/>
        </w:rPr>
      </w:pPr>
      <w:r w:rsidRPr="00B673E0">
        <w:rPr>
          <w:rFonts w:eastAsia="CMR17" w:cs="CMR17"/>
        </w:rPr>
        <w:t xml:space="preserve">    </w:t>
      </w:r>
      <w:r w:rsidRPr="00B709C9">
        <w:rPr>
          <w:rFonts w:eastAsia="CMR17" w:cs="CMR17"/>
        </w:rPr>
        <w:t>A patient schedules a visit with his physician to discuss some symptoms</w:t>
      </w:r>
      <w:r w:rsidR="00B709C9" w:rsidRPr="00B709C9">
        <w:rPr>
          <w:rFonts w:eastAsia="CMR17" w:cs="CMR17"/>
        </w:rPr>
        <w:t>.</w:t>
      </w:r>
      <w:r w:rsidRPr="00B709C9">
        <w:rPr>
          <w:rFonts w:eastAsia="CMR17" w:cs="CMR17"/>
        </w:rPr>
        <w:t>The doctor orders additional tests (if required) to investigate further.The lab reports come back and the doctor is now in the analysis and hypothesis phase.At this point the doctor takes the assistance of OG Health. A prerequisite here is the physician practice has OG Health installed as part of the practice health systems.The physician simply states the question either in verbal or written as an English sentence to OG Health.OG Health accesses the patient record and interprets the question in several different ways</w:t>
      </w:r>
      <w:r w:rsidR="00B709C9" w:rsidRPr="00B709C9">
        <w:rPr>
          <w:rFonts w:eastAsia="CMR17" w:cs="CMR17"/>
        </w:rPr>
        <w:t>.</w:t>
      </w:r>
      <w:r w:rsidRPr="00B709C9">
        <w:rPr>
          <w:rFonts w:eastAsia="CMR17" w:cs="CMR17"/>
        </w:rPr>
        <w:t>It comes back with ideas based on patient data and vast volume of literature. It comes up with an intentional list of several answers.It runs each answer through the apparatus of a hypothesis and verifies against vast amounts of data and a cohort of patients with similar attributes or conditions</w:t>
      </w:r>
      <w:r w:rsidR="00B709C9" w:rsidRPr="00B709C9">
        <w:rPr>
          <w:rFonts w:eastAsia="CMR17" w:cs="CMR17"/>
        </w:rPr>
        <w:t>.</w:t>
      </w:r>
      <w:r w:rsidRPr="00B709C9">
        <w:rPr>
          <w:rFonts w:eastAsia="CMR17" w:cs="CMR17"/>
        </w:rPr>
        <w:t>It then presents ideas with levels of confidence. It can also tell you what may be missing for a specific treatment plan the physician may order that test and re evaluate</w:t>
      </w:r>
      <w:r w:rsidR="00B709C9" w:rsidRPr="00B709C9">
        <w:rPr>
          <w:rFonts w:eastAsia="CMR17" w:cs="CMR17"/>
        </w:rPr>
        <w:t>.</w:t>
      </w:r>
      <w:r w:rsidRPr="00B709C9">
        <w:rPr>
          <w:rFonts w:eastAsia="CMR17" w:cs="CMR17"/>
        </w:rPr>
        <w:t>The physician can now make an informed decision based on the ideas presented by OG Health discuss treatment plans with the patient.The patient may indicate certain preferences which may require a different approach. In which case the physician provides that update to OG Health and it goes back and analyzes with the new data point and comes back with revised list of ideas and confidence level.The physician and patient agree on a treatment plan and OG Health sends out the details to Insurance for authorization</w:t>
      </w:r>
    </w:p>
    <w:p w14:paraId="648FD7C4" w14:textId="77777777" w:rsidR="00B673E0" w:rsidRPr="00B673E0" w:rsidRDefault="00B673E0" w:rsidP="00B673E0">
      <w:pPr>
        <w:widowControl/>
        <w:adjustRightInd w:val="0"/>
        <w:rPr>
          <w:rFonts w:eastAsia="CMR17" w:cs="CMR17" w:hint="eastAsia"/>
        </w:rPr>
      </w:pPr>
    </w:p>
    <w:p w14:paraId="5331B365" w14:textId="1629C71D" w:rsidR="00CF5282" w:rsidRDefault="00B673E0" w:rsidP="00B673E0">
      <w:pPr>
        <w:widowControl/>
        <w:adjustRightInd w:val="0"/>
        <w:rPr>
          <w:rFonts w:eastAsia="CMR17" w:cs="CMR17"/>
        </w:rPr>
      </w:pPr>
      <w:r w:rsidRPr="00B673E0">
        <w:rPr>
          <w:rFonts w:eastAsia="CMR17" w:cs="CMR17"/>
        </w:rPr>
        <w:t>In the above scenario the doctor is getting all of that data, across so many different physicians, crunched down into a very digestible format and recommendation that could then lead to the best treatment for that patient. For this to work OG needs copious amounts of data.This data and the idea was: Expose OG to that, and it finds patterns that physicians and anyone else can’t possibly find when looking at that data, given all the variables in it.</w:t>
      </w:r>
    </w:p>
    <w:p w14:paraId="5BC86E63" w14:textId="77777777" w:rsidR="00B709C9" w:rsidRPr="00B673E0" w:rsidRDefault="00B709C9" w:rsidP="00B673E0">
      <w:pPr>
        <w:widowControl/>
        <w:adjustRightInd w:val="0"/>
        <w:rPr>
          <w:rFonts w:eastAsia="CMR10" w:cs="CMR10" w:hint="eastAsia"/>
        </w:rPr>
      </w:pPr>
    </w:p>
    <w:p w14:paraId="29CDC409" w14:textId="5F43806F" w:rsidR="00132034" w:rsidRPr="00B673E0" w:rsidRDefault="00CF5282" w:rsidP="00CF5282">
      <w:pPr>
        <w:pStyle w:val="BodyText"/>
        <w:spacing w:before="1"/>
        <w:ind w:right="124"/>
        <w:rPr>
          <w:sz w:val="22"/>
          <w:szCs w:val="22"/>
        </w:rPr>
      </w:pPr>
      <w:r w:rsidRPr="00B673E0">
        <w:rPr>
          <w:rFonts w:eastAsia="CMBXTI10" w:cs="CMBXTI10"/>
          <w:sz w:val="22"/>
          <w:szCs w:val="22"/>
        </w:rPr>
        <w:t xml:space="preserve">Keywords: </w:t>
      </w:r>
      <w:r w:rsidR="00B709C9">
        <w:rPr>
          <w:rFonts w:eastAsia="CMBXTI10" w:cs="CMBXTI10"/>
          <w:sz w:val="22"/>
          <w:szCs w:val="22"/>
        </w:rPr>
        <w:t>OG</w:t>
      </w:r>
    </w:p>
    <w:sectPr w:rsidR="00132034" w:rsidRPr="00B673E0">
      <w:type w:val="continuous"/>
      <w:pgSz w:w="11900" w:h="16850"/>
      <w:pgMar w:top="1120" w:right="480" w:bottom="280" w:left="1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52E99" w14:textId="77777777" w:rsidR="00A71067" w:rsidRDefault="00A71067" w:rsidP="00CF5282">
      <w:r>
        <w:separator/>
      </w:r>
    </w:p>
  </w:endnote>
  <w:endnote w:type="continuationSeparator" w:id="0">
    <w:p w14:paraId="6709FD1A" w14:textId="77777777" w:rsidR="00A71067" w:rsidRDefault="00A71067" w:rsidP="00CF5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Caladea">
    <w:altName w:val="Cambria"/>
    <w:charset w:val="00"/>
    <w:family w:val="roman"/>
    <w:pitch w:val="variable"/>
  </w:font>
  <w:font w:name="CMR17">
    <w:altName w:val="Yu Gothic"/>
    <w:panose1 w:val="00000000000000000000"/>
    <w:charset w:val="80"/>
    <w:family w:val="auto"/>
    <w:notTrueType/>
    <w:pitch w:val="default"/>
    <w:sig w:usb0="00000001" w:usb1="08070000" w:usb2="00000010" w:usb3="00000000" w:csb0="00020000" w:csb1="00000000"/>
  </w:font>
  <w:font w:name="CMR10">
    <w:altName w:val="Yu Gothic"/>
    <w:panose1 w:val="00000000000000000000"/>
    <w:charset w:val="80"/>
    <w:family w:val="auto"/>
    <w:notTrueType/>
    <w:pitch w:val="default"/>
    <w:sig w:usb0="00000001" w:usb1="08070000" w:usb2="00000010" w:usb3="00000000" w:csb0="00020000" w:csb1="00000000"/>
  </w:font>
  <w:font w:name="CMBXTI10">
    <w:altName w:val="Yu Gothic"/>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0A871F" w14:textId="77777777" w:rsidR="00A71067" w:rsidRDefault="00A71067" w:rsidP="00CF5282">
      <w:r>
        <w:separator/>
      </w:r>
    </w:p>
  </w:footnote>
  <w:footnote w:type="continuationSeparator" w:id="0">
    <w:p w14:paraId="16E357C2" w14:textId="77777777" w:rsidR="00A71067" w:rsidRDefault="00A71067" w:rsidP="00CF52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036648"/>
    <w:multiLevelType w:val="hybridMultilevel"/>
    <w:tmpl w:val="42040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9467B3"/>
    <w:multiLevelType w:val="hybridMultilevel"/>
    <w:tmpl w:val="39B4FF0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034"/>
    <w:rsid w:val="00132034"/>
    <w:rsid w:val="00502BAC"/>
    <w:rsid w:val="00A71067"/>
    <w:rsid w:val="00B673E0"/>
    <w:rsid w:val="00B709C9"/>
    <w:rsid w:val="00CF5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A79E7E"/>
  <w15:docId w15:val="{4778029B-D5D0-40EB-BEA4-12209E994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ind w:left="1746" w:right="1764"/>
      <w:jc w:val="center"/>
      <w:outlineLvl w:val="0"/>
    </w:pPr>
    <w:rPr>
      <w:rFonts w:ascii="Caladea" w:eastAsia="Caladea" w:hAnsi="Caladea" w:cs="Calade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24"/>
      <w:szCs w:val="24"/>
    </w:rPr>
  </w:style>
  <w:style w:type="paragraph" w:styleId="Title">
    <w:name w:val="Title"/>
    <w:basedOn w:val="Normal"/>
    <w:uiPriority w:val="10"/>
    <w:qFormat/>
    <w:pPr>
      <w:spacing w:before="14"/>
      <w:ind w:left="1715" w:right="1764"/>
      <w:jc w:val="center"/>
    </w:pPr>
    <w:rPr>
      <w:sz w:val="34"/>
      <w:szCs w:val="3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514</Words>
  <Characters>2935</Characters>
  <Application>Microsoft Office Word</Application>
  <DocSecurity>0</DocSecurity>
  <Lines>24</Lines>
  <Paragraphs>6</Paragraphs>
  <ScaleCrop>false</ScaleCrop>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one_page_abstrate.dvi</dc:title>
  <dc:creator>Singh, Sakshi</dc:creator>
  <cp:lastModifiedBy>Tawri, Prajjwal</cp:lastModifiedBy>
  <cp:revision>3</cp:revision>
  <dcterms:created xsi:type="dcterms:W3CDTF">2022-06-23T06:40:00Z</dcterms:created>
  <dcterms:modified xsi:type="dcterms:W3CDTF">2022-06-23T06:44:00Z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2022-06-23T00:00:00Z</vt:filetime>
  </property>
  <property fmtid="{D5CDD505-2E9C-101B-9397-08002B2CF9AE}" pid="3" name="Creator">
    <vt:lpwstr>Microsoft® Word for Microsoft 365</vt:lpwstr>
  </property>
  <property fmtid="{D5CDD505-2E9C-101B-9397-08002B2CF9AE}" pid="4" name="LastSaved">
    <vt:filetime>2022-06-23T00:00:00Z</vt:filetime>
  </property>
  <property fmtid="{D5CDD505-2E9C-101B-9397-08002B2CF9AE}" pid="5" name="MSIP_Label_ea60d57e-af5b-4752-ac57-3e4f28ca11dc_Enabled">
    <vt:lpwstr>true</vt:lpwstr>
  </property>
  <property fmtid="{D5CDD505-2E9C-101B-9397-08002B2CF9AE}" pid="6" name="MSIP_Label_ea60d57e-af5b-4752-ac57-3e4f28ca11dc_SetDate">
    <vt:lpwstr>2022-06-23T05:43:07Z</vt:lpwstr>
  </property>
  <property fmtid="{D5CDD505-2E9C-101B-9397-08002B2CF9AE}" pid="7" name="MSIP_Label_ea60d57e-af5b-4752-ac57-3e4f28ca11dc_Method">
    <vt:lpwstr>Standard</vt:lpwstr>
  </property>
  <property fmtid="{D5CDD505-2E9C-101B-9397-08002B2CF9AE}" pid="8" name="MSIP_Label_ea60d57e-af5b-4752-ac57-3e4f28ca11dc_Name">
    <vt:lpwstr>ea60d57e-af5b-4752-ac57-3e4f28ca11dc</vt:lpwstr>
  </property>
  <property fmtid="{D5CDD505-2E9C-101B-9397-08002B2CF9AE}" pid="9" name="MSIP_Label_ea60d57e-af5b-4752-ac57-3e4f28ca11dc_SiteId">
    <vt:lpwstr>36da45f1-dd2c-4d1f-af13-5abe46b99921</vt:lpwstr>
  </property>
  <property fmtid="{D5CDD505-2E9C-101B-9397-08002B2CF9AE}" pid="10" name="MSIP_Label_ea60d57e-af5b-4752-ac57-3e4f28ca11dc_ActionId">
    <vt:lpwstr>e38a33b9-fd61-4671-a63e-8eb76fdefbf0</vt:lpwstr>
  </property>
  <property fmtid="{D5CDD505-2E9C-101B-9397-08002B2CF9AE}" pid="11" name="MSIP_Label_ea60d57e-af5b-4752-ac57-3e4f28ca11dc_ContentBits">
    <vt:lpwstr>0</vt:lpwstr>
  </property>
</Properties>
</file>