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31D8" w14:textId="77777777" w:rsidR="001B0B40" w:rsidRPr="00A91492" w:rsidRDefault="00000000">
      <w:pPr>
        <w:spacing w:after="60"/>
        <w:rPr>
          <w:rFonts w:ascii="Times New Roman" w:hAnsi="Times New Roman" w:cs="Times New Roman"/>
        </w:rPr>
      </w:pPr>
      <w:proofErr w:type="spellStart"/>
      <w:r w:rsidRPr="00A91492">
        <w:rPr>
          <w:rFonts w:ascii="Times New Roman" w:hAnsi="Times New Roman" w:cs="Times New Roman"/>
          <w:b/>
          <w:bCs/>
          <w:sz w:val="32"/>
          <w:szCs w:val="32"/>
        </w:rPr>
        <w:t>NovaTech</w:t>
      </w:r>
      <w:proofErr w:type="spellEnd"/>
      <w:r w:rsidRPr="00A91492">
        <w:rPr>
          <w:rFonts w:ascii="Times New Roman" w:hAnsi="Times New Roman" w:cs="Times New Roman"/>
          <w:b/>
          <w:bCs/>
          <w:sz w:val="32"/>
          <w:szCs w:val="32"/>
        </w:rPr>
        <w:t xml:space="preserve"> Labs</w:t>
      </w:r>
    </w:p>
    <w:p w14:paraId="7FFF0C0C" w14:textId="77777777" w:rsidR="001B0B40" w:rsidRPr="00A91492" w:rsidRDefault="00000000">
      <w:pPr>
        <w:spacing w:after="200"/>
        <w:rPr>
          <w:rFonts w:ascii="Times New Roman" w:hAnsi="Times New Roman" w:cs="Times New Roman"/>
        </w:rPr>
      </w:pPr>
      <w:r w:rsidRPr="00A91492">
        <w:rPr>
          <w:rFonts w:ascii="Times New Roman" w:hAnsi="Times New Roman" w:cs="Times New Roman"/>
          <w:sz w:val="24"/>
          <w:szCs w:val="24"/>
        </w:rPr>
        <w:t>Memo</w:t>
      </w:r>
    </w:p>
    <w:p w14:paraId="767E2DBB" w14:textId="77777777" w:rsidR="001B0B40" w:rsidRPr="00A91492" w:rsidRDefault="00000000">
      <w:pPr>
        <w:tabs>
          <w:tab w:val="left" w:pos="1100"/>
        </w:tabs>
        <w:spacing w:after="40"/>
        <w:rPr>
          <w:rFonts w:ascii="Times New Roman" w:hAnsi="Times New Roman" w:cs="Times New Roman"/>
        </w:rPr>
      </w:pPr>
      <w:r w:rsidRPr="00A91492">
        <w:rPr>
          <w:rFonts w:ascii="Times New Roman" w:hAnsi="Times New Roman" w:cs="Times New Roman"/>
          <w:b/>
          <w:bCs/>
        </w:rPr>
        <w:t>To:</w:t>
      </w:r>
      <w:r w:rsidRPr="00A91492">
        <w:rPr>
          <w:rFonts w:ascii="Times New Roman" w:hAnsi="Times New Roman" w:cs="Times New Roman"/>
        </w:rPr>
        <w:tab/>
        <w:t>Operations Leadership Team</w:t>
      </w:r>
    </w:p>
    <w:p w14:paraId="61AD450F" w14:textId="77777777" w:rsidR="001B0B40" w:rsidRPr="00A91492" w:rsidRDefault="00000000">
      <w:pPr>
        <w:tabs>
          <w:tab w:val="left" w:pos="1100"/>
        </w:tabs>
        <w:spacing w:after="40"/>
        <w:rPr>
          <w:rFonts w:ascii="Times New Roman" w:hAnsi="Times New Roman" w:cs="Times New Roman"/>
        </w:rPr>
      </w:pPr>
      <w:r w:rsidRPr="00A91492">
        <w:rPr>
          <w:rFonts w:ascii="Times New Roman" w:hAnsi="Times New Roman" w:cs="Times New Roman"/>
          <w:b/>
          <w:bCs/>
        </w:rPr>
        <w:t>From:</w:t>
      </w:r>
      <w:r w:rsidRPr="00A91492">
        <w:rPr>
          <w:rFonts w:ascii="Times New Roman" w:hAnsi="Times New Roman" w:cs="Times New Roman"/>
        </w:rPr>
        <w:tab/>
        <w:t>IT Operations</w:t>
      </w:r>
    </w:p>
    <w:p w14:paraId="4F3F4077" w14:textId="77777777" w:rsidR="001B0B40" w:rsidRPr="00A91492" w:rsidRDefault="00000000">
      <w:pPr>
        <w:tabs>
          <w:tab w:val="left" w:pos="1100"/>
        </w:tabs>
        <w:spacing w:after="40"/>
        <w:rPr>
          <w:rFonts w:ascii="Times New Roman" w:hAnsi="Times New Roman" w:cs="Times New Roman"/>
        </w:rPr>
      </w:pPr>
      <w:r w:rsidRPr="00A91492">
        <w:rPr>
          <w:rFonts w:ascii="Times New Roman" w:hAnsi="Times New Roman" w:cs="Times New Roman"/>
          <w:b/>
          <w:bCs/>
        </w:rPr>
        <w:t>Date:</w:t>
      </w:r>
      <w:r w:rsidRPr="00A91492">
        <w:rPr>
          <w:rFonts w:ascii="Times New Roman" w:hAnsi="Times New Roman" w:cs="Times New Roman"/>
        </w:rPr>
        <w:tab/>
        <w:t>30 September 2026</w:t>
      </w:r>
    </w:p>
    <w:p w14:paraId="48990446" w14:textId="77777777" w:rsidR="001B0B40" w:rsidRPr="00A91492" w:rsidRDefault="00000000">
      <w:pPr>
        <w:pBdr>
          <w:bottom w:val="single" w:sz="6" w:space="8" w:color="999999"/>
        </w:pBdr>
        <w:tabs>
          <w:tab w:val="left" w:pos="1100"/>
        </w:tabs>
        <w:spacing w:after="160"/>
        <w:rPr>
          <w:rFonts w:ascii="Times New Roman" w:hAnsi="Times New Roman" w:cs="Times New Roman"/>
        </w:rPr>
      </w:pPr>
      <w:r w:rsidRPr="00A91492">
        <w:rPr>
          <w:rFonts w:ascii="Times New Roman" w:hAnsi="Times New Roman" w:cs="Times New Roman"/>
          <w:b/>
          <w:bCs/>
        </w:rPr>
        <w:t>Subject:</w:t>
      </w:r>
      <w:r w:rsidRPr="00A91492">
        <w:rPr>
          <w:rFonts w:ascii="Times New Roman" w:hAnsi="Times New Roman" w:cs="Times New Roman"/>
        </w:rPr>
        <w:tab/>
        <w:t>Q3 internal review</w:t>
      </w:r>
    </w:p>
    <w:p w14:paraId="3145D29D"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Here is the usual end of quarter rundown from IT Operations. Overall things went fine. Availability came in at 99.4 percent against a target of 99.0, and the ticket queue grew a little after the two new teams were onboarded. Average resolution time was 7.2 hours.</w:t>
      </w:r>
    </w:p>
    <w:p w14:paraId="5EAD9B10" w14:textId="77777777" w:rsidR="001B0B40" w:rsidRPr="00A91492" w:rsidRDefault="00000000">
      <w:pPr>
        <w:spacing w:before="160" w:after="80"/>
        <w:rPr>
          <w:rFonts w:ascii="Times New Roman" w:hAnsi="Times New Roman" w:cs="Times New Roman"/>
        </w:rPr>
      </w:pPr>
      <w:r w:rsidRPr="00A91492">
        <w:rPr>
          <w:rFonts w:ascii="Times New Roman" w:hAnsi="Times New Roman" w:cs="Times New Roman"/>
          <w:b/>
          <w:bCs/>
        </w:rPr>
        <w:t>Infrastructure</w:t>
      </w:r>
    </w:p>
    <w:p w14:paraId="4522A056"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We had one unplanned outage at the main data centre, 47 minutes, caused by a failed network switch that has since been replaced. Two scheduled maintenance windows went ahead without problems. Backups completed at 98 percent. Storage is sitting at about 78 percent and heading toward 80, so we would like a capacity review done before the end of Q4. The legacy file share migration is roughly 70 percent done.</w:t>
      </w:r>
    </w:p>
    <w:p w14:paraId="5C6DCFD1" w14:textId="77777777" w:rsidR="001B0B40" w:rsidRPr="00A91492" w:rsidRDefault="00000000">
      <w:pPr>
        <w:spacing w:before="160" w:after="80"/>
        <w:rPr>
          <w:rFonts w:ascii="Times New Roman" w:hAnsi="Times New Roman" w:cs="Times New Roman"/>
        </w:rPr>
      </w:pPr>
      <w:r w:rsidRPr="00A91492">
        <w:rPr>
          <w:rFonts w:ascii="Times New Roman" w:hAnsi="Times New Roman" w:cs="Times New Roman"/>
          <w:b/>
          <w:bCs/>
        </w:rPr>
        <w:t>Access</w:t>
      </w:r>
    </w:p>
    <w:p w14:paraId="7BCA7730"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The quarterly access audit turned up 14 dormant accounts, all now disabled. MFA covers 91 percent of staff accounts. The gaps are mostly shared service accounts, which we will deal with in Q4. Contractor accounts will be reviewed every 30 days from now on.</w:t>
      </w:r>
    </w:p>
    <w:p w14:paraId="214B6CB8" w14:textId="77777777" w:rsidR="001B0B40" w:rsidRPr="00A91492" w:rsidRDefault="00000000">
      <w:pPr>
        <w:spacing w:before="160" w:after="80"/>
        <w:rPr>
          <w:rFonts w:ascii="Times New Roman" w:hAnsi="Times New Roman" w:cs="Times New Roman"/>
        </w:rPr>
      </w:pPr>
      <w:r w:rsidRPr="00A91492">
        <w:rPr>
          <w:rFonts w:ascii="Times New Roman" w:hAnsi="Times New Roman" w:cs="Times New Roman"/>
          <w:b/>
          <w:bCs/>
        </w:rPr>
        <w:t>Contractors and vendors</w:t>
      </w:r>
    </w:p>
    <w:p w14:paraId="6596811E"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 xml:space="preserve">The engagement with our former contractor, known internally as </w:t>
      </w:r>
      <w:proofErr w:type="spellStart"/>
      <w:r w:rsidRPr="00A91492">
        <w:rPr>
          <w:rFonts w:ascii="Times New Roman" w:hAnsi="Times New Roman" w:cs="Times New Roman"/>
          <w:b/>
          <w:bCs/>
        </w:rPr>
        <w:t>ghost_byte</w:t>
      </w:r>
      <w:proofErr w:type="spellEnd"/>
      <w:r w:rsidRPr="00A91492">
        <w:rPr>
          <w:rFonts w:ascii="Times New Roman" w:hAnsi="Times New Roman" w:cs="Times New Roman"/>
        </w:rPr>
        <w:t>, ended on 12 September after a disagreement about deliverables and some undocumented changes to the build pipeline. Their accounts were disabled the same day. Handover notes were incomplete, so we have asked for the related repositories to be checked for anything undocumented. Nothing further is planned for now.</w:t>
      </w:r>
    </w:p>
    <w:p w14:paraId="59E45787"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Separately, three licences for the analytics platform come up for renewal in November. Procurement has been asked to confirm pricing before the next budget round.</w:t>
      </w:r>
    </w:p>
    <w:p w14:paraId="27FECB02" w14:textId="77777777" w:rsidR="001B0B40" w:rsidRPr="00A91492" w:rsidRDefault="00000000">
      <w:pPr>
        <w:spacing w:before="160" w:after="80"/>
        <w:rPr>
          <w:rFonts w:ascii="Times New Roman" w:hAnsi="Times New Roman" w:cs="Times New Roman"/>
        </w:rPr>
      </w:pPr>
      <w:r w:rsidRPr="00A91492">
        <w:rPr>
          <w:rFonts w:ascii="Times New Roman" w:hAnsi="Times New Roman" w:cs="Times New Roman"/>
          <w:b/>
          <w:bCs/>
        </w:rPr>
        <w:t>Projects</w:t>
      </w:r>
    </w:p>
    <w:p w14:paraId="74BED3F4"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 xml:space="preserve">The customer portal refresh is in user testing. The new monitoring project, under the internal codename </w:t>
      </w:r>
      <w:r w:rsidRPr="00A91492">
        <w:rPr>
          <w:rFonts w:ascii="Times New Roman" w:hAnsi="Times New Roman" w:cs="Times New Roman"/>
          <w:b/>
          <w:bCs/>
        </w:rPr>
        <w:t>GHOST</w:t>
      </w:r>
      <w:r w:rsidRPr="00A91492">
        <w:rPr>
          <w:rFonts w:ascii="Times New Roman" w:hAnsi="Times New Roman" w:cs="Times New Roman"/>
        </w:rPr>
        <w:t>, finished its design phase and moves to a pilot in Q4. Budget for the pilot was approved at the level discussed earlier.</w:t>
      </w:r>
    </w:p>
    <w:p w14:paraId="57D63BBD" w14:textId="77777777" w:rsidR="001B0B40" w:rsidRPr="00A91492" w:rsidRDefault="00000000">
      <w:pPr>
        <w:spacing w:before="160" w:after="80"/>
        <w:rPr>
          <w:rFonts w:ascii="Times New Roman" w:hAnsi="Times New Roman" w:cs="Times New Roman"/>
        </w:rPr>
      </w:pPr>
      <w:r w:rsidRPr="00A91492">
        <w:rPr>
          <w:rFonts w:ascii="Times New Roman" w:hAnsi="Times New Roman" w:cs="Times New Roman"/>
          <w:b/>
          <w:bCs/>
        </w:rPr>
        <w:t>Next steps</w:t>
      </w:r>
    </w:p>
    <w:p w14:paraId="50BEA47D" w14:textId="77777777" w:rsidR="001B0B40" w:rsidRPr="00A91492" w:rsidRDefault="00000000">
      <w:pPr>
        <w:spacing w:after="140" w:line="276" w:lineRule="auto"/>
        <w:rPr>
          <w:rFonts w:ascii="Times New Roman" w:hAnsi="Times New Roman" w:cs="Times New Roman"/>
        </w:rPr>
      </w:pPr>
      <w:r w:rsidRPr="00A91492">
        <w:rPr>
          <w:rFonts w:ascii="Times New Roman" w:hAnsi="Times New Roman" w:cs="Times New Roman"/>
        </w:rPr>
        <w:t>Capacity review of primary storage before end of Q4. Extend MFA to the remaining service accounts. Check the repositories tied to the former contractor. Confirm analytics renewal pricing with Procurement by 15 November.</w:t>
      </w:r>
    </w:p>
    <w:p w14:paraId="3CB93FA7" w14:textId="77777777" w:rsidR="001B0B40" w:rsidRPr="00A91492" w:rsidRDefault="00000000">
      <w:pPr>
        <w:spacing w:before="120"/>
        <w:rPr>
          <w:rFonts w:ascii="Times New Roman" w:hAnsi="Times New Roman" w:cs="Times New Roman"/>
        </w:rPr>
      </w:pPr>
      <w:r w:rsidRPr="00A91492">
        <w:rPr>
          <w:rFonts w:ascii="Times New Roman" w:hAnsi="Times New Roman" w:cs="Times New Roman"/>
        </w:rPr>
        <w:t>Figures are provisional until finance closes the quarter.</w:t>
      </w:r>
    </w:p>
    <w:sectPr w:rsidR="001B0B40" w:rsidRPr="00A91492">
      <w:pgSz w:w="11906" w:h="16838"/>
      <w:pgMar w:top="144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647F5"/>
    <w:multiLevelType w:val="hybridMultilevel"/>
    <w:tmpl w:val="EDBCE858"/>
    <w:lvl w:ilvl="0" w:tplc="0360E4DC">
      <w:start w:val="1"/>
      <w:numFmt w:val="bullet"/>
      <w:lvlText w:val="●"/>
      <w:lvlJc w:val="left"/>
      <w:pPr>
        <w:ind w:left="720" w:hanging="360"/>
      </w:pPr>
    </w:lvl>
    <w:lvl w:ilvl="1" w:tplc="8A9E6786">
      <w:start w:val="1"/>
      <w:numFmt w:val="bullet"/>
      <w:lvlText w:val="○"/>
      <w:lvlJc w:val="left"/>
      <w:pPr>
        <w:ind w:left="1440" w:hanging="360"/>
      </w:pPr>
    </w:lvl>
    <w:lvl w:ilvl="2" w:tplc="F4BEBD3C">
      <w:start w:val="1"/>
      <w:numFmt w:val="bullet"/>
      <w:lvlText w:val="■"/>
      <w:lvlJc w:val="left"/>
      <w:pPr>
        <w:ind w:left="2160" w:hanging="360"/>
      </w:pPr>
    </w:lvl>
    <w:lvl w:ilvl="3" w:tplc="40FA3176">
      <w:start w:val="1"/>
      <w:numFmt w:val="bullet"/>
      <w:lvlText w:val="●"/>
      <w:lvlJc w:val="left"/>
      <w:pPr>
        <w:ind w:left="2880" w:hanging="360"/>
      </w:pPr>
    </w:lvl>
    <w:lvl w:ilvl="4" w:tplc="DDC458B6">
      <w:start w:val="1"/>
      <w:numFmt w:val="bullet"/>
      <w:lvlText w:val="○"/>
      <w:lvlJc w:val="left"/>
      <w:pPr>
        <w:ind w:left="3600" w:hanging="360"/>
      </w:pPr>
    </w:lvl>
    <w:lvl w:ilvl="5" w:tplc="CEB23046">
      <w:start w:val="1"/>
      <w:numFmt w:val="bullet"/>
      <w:lvlText w:val="■"/>
      <w:lvlJc w:val="left"/>
      <w:pPr>
        <w:ind w:left="4320" w:hanging="360"/>
      </w:pPr>
    </w:lvl>
    <w:lvl w:ilvl="6" w:tplc="7D7EB3CA">
      <w:start w:val="1"/>
      <w:numFmt w:val="bullet"/>
      <w:lvlText w:val="●"/>
      <w:lvlJc w:val="left"/>
      <w:pPr>
        <w:ind w:left="5040" w:hanging="360"/>
      </w:pPr>
    </w:lvl>
    <w:lvl w:ilvl="7" w:tplc="EC74B764">
      <w:start w:val="1"/>
      <w:numFmt w:val="bullet"/>
      <w:lvlText w:val="●"/>
      <w:lvlJc w:val="left"/>
      <w:pPr>
        <w:ind w:left="5760" w:hanging="360"/>
      </w:pPr>
    </w:lvl>
    <w:lvl w:ilvl="8" w:tplc="1F1E2410">
      <w:start w:val="1"/>
      <w:numFmt w:val="bullet"/>
      <w:lvlText w:val="●"/>
      <w:lvlJc w:val="left"/>
      <w:pPr>
        <w:ind w:left="6480" w:hanging="360"/>
      </w:pPr>
    </w:lvl>
  </w:abstractNum>
  <w:num w:numId="1" w16cid:durableId="79524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B40"/>
    <w:rsid w:val="001B0B40"/>
    <w:rsid w:val="00A91492"/>
    <w:rsid w:val="00B072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87DAE"/>
  <w15:docId w15:val="{9653F563-E758-4960-AD15-17119A05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Q3 Internal Review</dc:title>
  <dc:creator>IT Operations</dc:creator>
  <cp:lastModifiedBy>Inderpreet Kaur</cp:lastModifiedBy>
  <cp:revision>2</cp:revision>
  <dcterms:created xsi:type="dcterms:W3CDTF">2026-10-08T08:25:00Z</dcterms:created>
  <dcterms:modified xsi:type="dcterms:W3CDTF">2026-10-08T08:27:00Z</dcterms:modified>
</cp:coreProperties>
</file>