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0E1" w:rsidRDefault="0091106C" w:rsidP="0091106C">
      <w:pPr>
        <w:pStyle w:val="berschrift1"/>
      </w:pPr>
      <w:r>
        <w:t>1. Versuchsziel</w:t>
      </w:r>
    </w:p>
    <w:p w:rsidR="0091106C" w:rsidRDefault="0091106C" w:rsidP="0091106C">
      <w:r>
        <w:t xml:space="preserve">Bei diesem Versuch sollen jeweils der Schwächungskoeffizient und die </w:t>
      </w:r>
      <w:proofErr w:type="spellStart"/>
      <w:r>
        <w:t>Halbwertsdicke</w:t>
      </w:r>
      <w:proofErr w:type="spellEnd"/>
      <w:r>
        <w:t xml:space="preserve"> von Aluminium und Blei für die γ-Strahlung eines </w:t>
      </w:r>
      <w:r>
        <w:rPr>
          <w:vertAlign w:val="superscript"/>
        </w:rPr>
        <w:t>60</w:t>
      </w:r>
      <w:r>
        <w:t>Co-Präparats bestimmt werden.</w:t>
      </w:r>
    </w:p>
    <w:p w:rsidR="0091106C" w:rsidRDefault="0091106C" w:rsidP="0091106C">
      <w:pPr>
        <w:pStyle w:val="berschrift1"/>
      </w:pPr>
      <w:r>
        <w:t>2. Grundlagen</w:t>
      </w:r>
    </w:p>
    <w:p w:rsidR="0091106C" w:rsidRDefault="0091106C" w:rsidP="0091106C"/>
    <w:p w:rsidR="0091106C" w:rsidRDefault="0091106C" w:rsidP="001D7745">
      <w:pPr>
        <w:pStyle w:val="berschrift1"/>
      </w:pPr>
      <w:r>
        <w:t>3. Versuchsaufbau und Versuchsablauf</w:t>
      </w:r>
    </w:p>
    <w:p w:rsidR="00E93959" w:rsidRDefault="00E93959" w:rsidP="001D7745">
      <w:pPr>
        <w:pStyle w:val="berschrift2"/>
      </w:pPr>
      <w:r>
        <w:rPr>
          <w:noProof/>
          <w:lang w:eastAsia="de-DE"/>
        </w:rPr>
        <w:drawing>
          <wp:inline distT="0" distB="0" distL="0" distR="0">
            <wp:extent cx="5760720" cy="289242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0-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892425"/>
                    </a:xfrm>
                    <a:prstGeom prst="rect">
                      <a:avLst/>
                    </a:prstGeom>
                  </pic:spPr>
                </pic:pic>
              </a:graphicData>
            </a:graphic>
          </wp:inline>
        </w:drawing>
      </w:r>
    </w:p>
    <w:p w:rsidR="00773971" w:rsidRDefault="00773971" w:rsidP="00773971"/>
    <w:p w:rsidR="00E93959" w:rsidRDefault="00E93959" w:rsidP="001D7745">
      <w:pPr>
        <w:pStyle w:val="berschrift2"/>
      </w:pPr>
      <w:r>
        <w:t>3.1. Verwendete Geräte</w:t>
      </w:r>
    </w:p>
    <w:p w:rsidR="00E93959" w:rsidRDefault="00E93959" w:rsidP="002750E3">
      <w:pPr>
        <w:pStyle w:val="Listenabsatz"/>
        <w:numPr>
          <w:ilvl w:val="0"/>
          <w:numId w:val="3"/>
        </w:numPr>
      </w:pPr>
      <w:r>
        <w:t xml:space="preserve">Bleiblock mit </w:t>
      </w:r>
      <w:r>
        <w:rPr>
          <w:vertAlign w:val="superscript"/>
        </w:rPr>
        <w:t>60</w:t>
      </w:r>
      <w:r>
        <w:t>Co-Präparat</w:t>
      </w:r>
    </w:p>
    <w:p w:rsidR="00E93959" w:rsidRDefault="00E93959" w:rsidP="002750E3">
      <w:pPr>
        <w:pStyle w:val="Listenabsatz"/>
        <w:numPr>
          <w:ilvl w:val="0"/>
          <w:numId w:val="3"/>
        </w:numPr>
      </w:pPr>
      <w:r>
        <w:t>Holzblock zur Auflage der Absorptionsklötze</w:t>
      </w:r>
    </w:p>
    <w:p w:rsidR="00E93959" w:rsidRDefault="00E93959" w:rsidP="002750E3">
      <w:pPr>
        <w:pStyle w:val="Listenabsatz"/>
        <w:numPr>
          <w:ilvl w:val="0"/>
          <w:numId w:val="3"/>
        </w:numPr>
      </w:pPr>
      <w:r>
        <w:t>Verschieden dicke Absorptionsklötze aus Blei und Aluminium</w:t>
      </w:r>
    </w:p>
    <w:p w:rsidR="00E93959" w:rsidRDefault="00E93959" w:rsidP="002750E3">
      <w:pPr>
        <w:pStyle w:val="Listenabsatz"/>
        <w:numPr>
          <w:ilvl w:val="0"/>
          <w:numId w:val="3"/>
        </w:numPr>
      </w:pPr>
      <w:r>
        <w:t>Bleiblock mit Geiger-Müller-Zähler</w:t>
      </w:r>
    </w:p>
    <w:p w:rsidR="001D7745" w:rsidRDefault="00773971" w:rsidP="002750E3">
      <w:pPr>
        <w:pStyle w:val="Listenabsatz"/>
        <w:numPr>
          <w:ilvl w:val="0"/>
          <w:numId w:val="3"/>
        </w:numPr>
      </w:pPr>
      <w:proofErr w:type="spellStart"/>
      <w:r>
        <w:t>Leypold</w:t>
      </w:r>
      <w:proofErr w:type="spellEnd"/>
      <w:r>
        <w:t>-Zähler</w:t>
      </w:r>
    </w:p>
    <w:p w:rsidR="00773971" w:rsidRDefault="00773971" w:rsidP="00773971">
      <w:pPr>
        <w:pStyle w:val="berschrift2"/>
      </w:pPr>
      <w:r>
        <w:t xml:space="preserve">3.2. Bestimmung der </w:t>
      </w:r>
      <w:proofErr w:type="spellStart"/>
      <w:r>
        <w:t>Nullrate</w:t>
      </w:r>
      <w:proofErr w:type="spellEnd"/>
    </w:p>
    <w:p w:rsidR="00773971" w:rsidRDefault="00773971" w:rsidP="00773971">
      <w:r>
        <w:t>Die Bleiblöcke mit dem</w:t>
      </w:r>
      <w:r w:rsidR="002750E3">
        <w:rPr>
          <w:vertAlign w:val="superscript"/>
        </w:rPr>
        <w:t>60</w:t>
      </w:r>
      <w:r w:rsidR="002750E3">
        <w:t>Co-P</w:t>
      </w:r>
      <w:r>
        <w:t xml:space="preserve">räparat (1) und dem Geiger-Müller-Zähler (4) werden längs nebeneinander gestellt, sodass die maximale Dicke an Blei zwischen Präparat und Zähler ist. Dadurch wird sichergestellt, dass so wenig Strahlung des Präparats wie möglich in den Zähler fällt, da man </w:t>
      </w:r>
      <w:r w:rsidR="003A520B">
        <w:t xml:space="preserve">die </w:t>
      </w:r>
      <w:proofErr w:type="spellStart"/>
      <w:r w:rsidR="003A520B">
        <w:t>Nullrate</w:t>
      </w:r>
      <w:proofErr w:type="spellEnd"/>
      <w:r w:rsidR="003A520B">
        <w:t>, also die Hintergrundstrahlung des Raums</w:t>
      </w:r>
      <w:r w:rsidR="007C30D0">
        <w:t xml:space="preserve"> messen möchte. An dem Geiger-Müller-Zähler ist ein </w:t>
      </w:r>
      <w:proofErr w:type="spellStart"/>
      <w:r w:rsidR="007C30D0">
        <w:t>Leypold</w:t>
      </w:r>
      <w:proofErr w:type="spellEnd"/>
      <w:r w:rsidR="007C30D0">
        <w:t xml:space="preserve">-Zähler (5) angeschlossen, der die vom Geiger-Müller-Zähler ausgehenden Impulse zählt und pro eingestellter Zeiteinheit speichert. Nun stellt man ein, dass der </w:t>
      </w:r>
      <w:proofErr w:type="spellStart"/>
      <w:r w:rsidR="007C30D0">
        <w:t>Leypold</w:t>
      </w:r>
      <w:proofErr w:type="spellEnd"/>
      <w:r w:rsidR="007C30D0">
        <w:t>-Zähler alle 60 Sekunden die Impulsrate speichert</w:t>
      </w:r>
      <w:r w:rsidR="002750E3">
        <w:t xml:space="preserve"> und lässt ihn 15 Minuten lang laufen. Die Werte werden notiert und der Mittelwert gebildet.</w:t>
      </w:r>
    </w:p>
    <w:p w:rsidR="002750E3" w:rsidRDefault="002750E3" w:rsidP="002750E3">
      <w:pPr>
        <w:pStyle w:val="berschrift2"/>
      </w:pPr>
      <w:r>
        <w:t xml:space="preserve">3.3. Bestimmung der der </w:t>
      </w:r>
      <w:proofErr w:type="spellStart"/>
      <w:r>
        <w:t>Zählrate</w:t>
      </w:r>
      <w:proofErr w:type="spellEnd"/>
      <w:r>
        <w:t xml:space="preserve"> in Abhängigkeit der Dicke der Abschirmung</w:t>
      </w:r>
    </w:p>
    <w:p w:rsidR="002750E3" w:rsidRDefault="002750E3" w:rsidP="002750E3">
      <w:r>
        <w:t xml:space="preserve">Die Bleiblöcke mit dem </w:t>
      </w:r>
      <w:r>
        <w:rPr>
          <w:vertAlign w:val="superscript"/>
        </w:rPr>
        <w:t>60</w:t>
      </w:r>
      <w:r>
        <w:t xml:space="preserve">Co-Präparat (1) und dem Geiger-Müller-Zähler (4) werden so aufgestellt, dass der Holzblock (3) genau dazwischen passt und der Geiger-Müller-Zähler </w:t>
      </w:r>
      <w:r>
        <w:lastRenderedPageBreak/>
        <w:t xml:space="preserve">bleibt am </w:t>
      </w:r>
      <w:proofErr w:type="spellStart"/>
      <w:r>
        <w:t>Leypold</w:t>
      </w:r>
      <w:proofErr w:type="spellEnd"/>
      <w:r>
        <w:t>-Zähler</w:t>
      </w:r>
      <w:r w:rsidR="00E73484">
        <w:t xml:space="preserve"> (5)</w:t>
      </w:r>
      <w:r>
        <w:t xml:space="preserve"> ang</w:t>
      </w:r>
      <w:r w:rsidR="00E73484">
        <w:t>e</w:t>
      </w:r>
      <w:r>
        <w:t xml:space="preserve">schlossen. Dieser Aufbau wird nicht mehr geändert, </w:t>
      </w:r>
      <w:r w:rsidR="00E73484">
        <w:t>da die Strahlungsintensität auch vom Abstand abhängig ist und somit ein Umbau den Wert verändern könnte. Es werden nur Absorptionsblöcke (3) hinzugefügt oder weggenommen, da in Abhängigkeit der Dicke gemessen wird.</w:t>
      </w:r>
    </w:p>
    <w:p w:rsidR="00E73484" w:rsidRDefault="00E73484" w:rsidP="00E73484">
      <w:pPr>
        <w:pStyle w:val="berschrift3"/>
      </w:pPr>
      <w:r>
        <w:t>Aluminium:</w:t>
      </w:r>
    </w:p>
    <w:p w:rsidR="00E73484" w:rsidRDefault="00E73484" w:rsidP="00E73484">
      <w:r>
        <w:t>Es sind ein 2,5 cm langer und drei 5 cm lange Zylinder gegeben. Damit kann man</w:t>
      </w:r>
      <w:r w:rsidR="00817E3A">
        <w:t xml:space="preserve"> Dicken von 0-17,5 cm in 2,5cm Schritten erzeugen.</w:t>
      </w:r>
    </w:p>
    <w:p w:rsidR="00E73484" w:rsidRDefault="00E239DA" w:rsidP="00E73484">
      <w:r>
        <w:t>Z</w:t>
      </w:r>
      <w:r w:rsidR="00817E3A">
        <w:t>uerst</w:t>
      </w:r>
      <w:r>
        <w:t xml:space="preserve"> werden</w:t>
      </w:r>
      <w:r w:rsidR="00817E3A">
        <w:t xml:space="preserve"> die Impulsraten bei den ersten vier Dicken (0 cm bis 7,5 cm) </w:t>
      </w:r>
      <w:r>
        <w:t xml:space="preserve">jeweils </w:t>
      </w:r>
      <w:r w:rsidR="00817E3A">
        <w:t>zwei</w:t>
      </w:r>
      <w:r>
        <w:t xml:space="preserve"> Minuten lang gemessen. </w:t>
      </w:r>
      <w:r w:rsidR="00A02AA3">
        <w:t xml:space="preserve">Dann werden die vier dicken </w:t>
      </w:r>
      <w:proofErr w:type="spellStart"/>
      <w:r w:rsidR="00A02AA3">
        <w:t>Dicken</w:t>
      </w:r>
      <w:proofErr w:type="spellEnd"/>
      <w:r w:rsidR="00A02AA3">
        <w:t xml:space="preserve"> (10 cm bis 17,5 cm) jeweils fünf Minuten lang gemessen. Alle Messwerte werden dem </w:t>
      </w:r>
      <w:proofErr w:type="spellStart"/>
      <w:r w:rsidR="00A02AA3">
        <w:t>Leypold</w:t>
      </w:r>
      <w:proofErr w:type="spellEnd"/>
      <w:r w:rsidR="00A02AA3">
        <w:t>-Zähler entnommen und notiert.</w:t>
      </w:r>
    </w:p>
    <w:p w:rsidR="00A02AA3" w:rsidRDefault="00A02AA3" w:rsidP="00A02AA3">
      <w:pPr>
        <w:pStyle w:val="berschrift3"/>
      </w:pPr>
      <w:r>
        <w:t>Blei:</w:t>
      </w:r>
    </w:p>
    <w:p w:rsidR="00A02AA3" w:rsidRDefault="00A02AA3" w:rsidP="00A02AA3">
      <w:r>
        <w:t>Es sind ein 0.5 cm langer und fünf 1 cm lange Zylinder gegeben. Damit kann man Dicken von 0-5,5 cm in 0,5 cm Schritten erzeugen. Wir betrachten die Dicken 0,5 cm bis 5 cm.</w:t>
      </w:r>
    </w:p>
    <w:p w:rsidR="00DB7F12" w:rsidRDefault="00DB7F12" w:rsidP="00DB7F12">
      <w:r>
        <w:t xml:space="preserve">Zuerst werden die Impulsraten bei den ersten sieben Dicken (0,5 cm bis 3,5 cm) jeweils zwei Minuten lang gemessen. Dann werden die drei dicken </w:t>
      </w:r>
      <w:proofErr w:type="spellStart"/>
      <w:r>
        <w:t>Dicken</w:t>
      </w:r>
      <w:proofErr w:type="spellEnd"/>
      <w:r>
        <w:t xml:space="preserve"> (4 cm bis 5 cm) jeweils fünf Minuten lang gemessen. Alle Messwerte werden dem </w:t>
      </w:r>
      <w:proofErr w:type="spellStart"/>
      <w:r>
        <w:t>Leypold</w:t>
      </w:r>
      <w:proofErr w:type="spellEnd"/>
      <w:r>
        <w:t>-Zähler entnommen und notiert.</w:t>
      </w:r>
    </w:p>
    <w:p w:rsidR="00D0480C" w:rsidRDefault="00D0480C" w:rsidP="00D0480C">
      <w:pPr>
        <w:pStyle w:val="berschrift1"/>
      </w:pPr>
      <w:r>
        <w:t>4. Formeln</w:t>
      </w:r>
    </w:p>
    <w:p w:rsidR="00D0480C" w:rsidRDefault="00D0480C" w:rsidP="00D0480C">
      <w:pPr>
        <w:pStyle w:val="berschrift2"/>
      </w:pPr>
      <w:r>
        <w:t xml:space="preserve">4.1. Formel zur Ermittlung des Mittelwerts der </w:t>
      </w:r>
      <w:proofErr w:type="spellStart"/>
      <w:r>
        <w:t>Nullrate</w:t>
      </w:r>
      <w:proofErr w:type="spellEnd"/>
      <w:r>
        <w:t>:</w:t>
      </w:r>
    </w:p>
    <w:p w:rsidR="00D0480C" w:rsidRPr="009C736D" w:rsidRDefault="00046D51" w:rsidP="009C736D">
      <w:pPr>
        <w:ind w:firstLine="708"/>
        <w:rPr>
          <w:rFonts w:eastAsiaTheme="minorEastAsia"/>
        </w:rPr>
      </w:pPr>
      <m:oMathPara>
        <m:oMathParaPr>
          <m:jc m:val="center"/>
        </m:oMathParaPr>
        <m:oMath>
          <m:acc>
            <m:accPr>
              <m:chr m:val="̅"/>
              <m:ctrlPr>
                <w:rPr>
                  <w:rFonts w:ascii="Cambria Math" w:hAnsi="Cambria Math"/>
                  <w:i/>
                </w:rPr>
              </m:ctrlPr>
            </m:accPr>
            <m:e>
              <m:r>
                <w:rPr>
                  <w:rFonts w:ascii="Cambria Math" w:hAnsi="Cambria Math"/>
                </w:rPr>
                <m:t>N</m:t>
              </m:r>
            </m:e>
          </m:acc>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i</m:t>
              </m: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i</m:t>
                  </m:r>
                </m:den>
              </m:f>
            </m:e>
          </m:nary>
        </m:oMath>
      </m:oMathPara>
    </w:p>
    <w:p w:rsidR="009C736D" w:rsidRDefault="009C736D" w:rsidP="009C736D">
      <w:pPr>
        <w:rPr>
          <w:rFonts w:eastAsiaTheme="minorEastAsia"/>
        </w:rPr>
      </w:pPr>
      <w:r>
        <w:t xml:space="preserve">Hierbei ist </w:t>
      </w:r>
      <m:oMath>
        <m:acc>
          <m:accPr>
            <m:chr m:val="̅"/>
            <m:ctrlPr>
              <w:rPr>
                <w:rFonts w:ascii="Cambria Math" w:hAnsi="Cambria Math"/>
                <w:i/>
              </w:rPr>
            </m:ctrlPr>
          </m:accPr>
          <m:e>
            <m:r>
              <w:rPr>
                <w:rFonts w:ascii="Cambria Math" w:hAnsi="Cambria Math"/>
              </w:rPr>
              <m:t>N</m:t>
            </m:r>
          </m:e>
        </m:acc>
      </m:oMath>
      <w:r>
        <w:rPr>
          <w:rFonts w:eastAsiaTheme="minorEastAsia"/>
        </w:rPr>
        <w:t xml:space="preserve"> der Mittelwert, </w:t>
      </w:r>
      <m:oMath>
        <m:r>
          <w:rPr>
            <w:rFonts w:ascii="Cambria Math" w:eastAsiaTheme="minorEastAsia" w:hAnsi="Cambria Math"/>
          </w:rPr>
          <m:t>i</m:t>
        </m:r>
      </m:oMath>
      <w:r>
        <w:rPr>
          <w:rFonts w:eastAsiaTheme="minorEastAsia"/>
        </w:rPr>
        <w:t xml:space="preserve"> die Anzahl an Messungen und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der Wert der jeweiligen Messung.</w:t>
      </w:r>
    </w:p>
    <w:p w:rsidR="009C736D" w:rsidRDefault="009C736D" w:rsidP="009C736D">
      <w:pPr>
        <w:rPr>
          <w:rFonts w:eastAsiaTheme="minorEastAsia"/>
        </w:rPr>
      </w:pPr>
      <w:r>
        <w:rPr>
          <w:rFonts w:eastAsiaTheme="minorEastAsia"/>
        </w:rPr>
        <w:t xml:space="preserve">4.1,5 </w:t>
      </w:r>
      <w:r w:rsidR="00F117CA">
        <w:rPr>
          <w:rFonts w:eastAsiaTheme="minorEastAsia"/>
        </w:rPr>
        <w:t xml:space="preserve">Effektive </w:t>
      </w:r>
      <w:proofErr w:type="spellStart"/>
      <w:r w:rsidR="00F117CA">
        <w:rPr>
          <w:rFonts w:eastAsiaTheme="minorEastAsia"/>
        </w:rPr>
        <w:t>ZählrateZ</w:t>
      </w:r>
      <w:r w:rsidR="00F117CA">
        <w:rPr>
          <w:rFonts w:eastAsiaTheme="minorEastAsia"/>
          <w:vertAlign w:val="subscript"/>
        </w:rPr>
        <w:t>eff</w:t>
      </w:r>
      <w:proofErr w:type="spellEnd"/>
      <w:r w:rsidR="00F117CA">
        <w:rPr>
          <w:rFonts w:eastAsiaTheme="minorEastAsia"/>
        </w:rPr>
        <w:t xml:space="preserve"> = Z – N , hierbei ist Z die gemessene </w:t>
      </w:r>
      <w:proofErr w:type="spellStart"/>
      <w:r w:rsidR="00F117CA">
        <w:rPr>
          <w:rFonts w:eastAsiaTheme="minorEastAsia"/>
        </w:rPr>
        <w:t>Zählrate</w:t>
      </w:r>
      <w:proofErr w:type="spellEnd"/>
      <w:r w:rsidR="00F117CA">
        <w:rPr>
          <w:rFonts w:eastAsiaTheme="minorEastAsia"/>
        </w:rPr>
        <w:t xml:space="preserve"> und N der Mittelwert der </w:t>
      </w:r>
      <w:proofErr w:type="spellStart"/>
      <w:r w:rsidR="00F117CA">
        <w:rPr>
          <w:rFonts w:eastAsiaTheme="minorEastAsia"/>
        </w:rPr>
        <w:t>Nullrate</w:t>
      </w:r>
      <w:proofErr w:type="spellEnd"/>
    </w:p>
    <w:p w:rsidR="00F117CA" w:rsidRDefault="00F117CA" w:rsidP="00F117CA">
      <w:pPr>
        <w:pStyle w:val="berschrift2"/>
      </w:pPr>
      <w:r>
        <w:t>4.2 Absorption von Gammastrahlen</w:t>
      </w:r>
    </w:p>
    <w:p w:rsidR="00F117CA" w:rsidRDefault="00F117CA" w:rsidP="00F117CA">
      <w:r>
        <w:t>Z = Z</w:t>
      </w:r>
      <w:r>
        <w:rPr>
          <w:vertAlign w:val="subscript"/>
        </w:rPr>
        <w:t>0</w:t>
      </w:r>
      <w:r>
        <w:t xml:space="preserve"> e</w:t>
      </w:r>
      <w:r>
        <w:rPr>
          <w:vertAlign w:val="superscript"/>
        </w:rPr>
        <w:t>-αx</w:t>
      </w:r>
      <w:r>
        <w:t xml:space="preserve"> , Hierbei ist Z</w:t>
      </w:r>
      <w:r>
        <w:rPr>
          <w:vertAlign w:val="subscript"/>
        </w:rPr>
        <w:t>0</w:t>
      </w:r>
      <w:r>
        <w:t xml:space="preserve"> die vom Präparat ausgehende </w:t>
      </w:r>
      <w:proofErr w:type="spellStart"/>
      <w:r>
        <w:t>Zählrate</w:t>
      </w:r>
      <w:proofErr w:type="spellEnd"/>
      <w:r>
        <w:t xml:space="preserve">, Z ist die </w:t>
      </w:r>
      <w:proofErr w:type="spellStart"/>
      <w:r>
        <w:t>Zählrate</w:t>
      </w:r>
      <w:proofErr w:type="spellEnd"/>
      <w:r>
        <w:t>, nachdem die Strahlung durch einen Metallblock der Dicke x durchlaufen ist und α ist der Abschwächungskoeffizient. Dieser ist spezifisch für das Material der Blocks.</w:t>
      </w:r>
    </w:p>
    <w:p w:rsidR="00F117CA" w:rsidRPr="00C7203D" w:rsidRDefault="00F117CA" w:rsidP="00F117CA">
      <w:pPr>
        <w:pStyle w:val="berschrift2"/>
      </w:pPr>
      <w:r>
        <w:t xml:space="preserve">4.3. </w:t>
      </w:r>
      <w:r w:rsidR="00C7203D">
        <w:t xml:space="preserve">Berechnung der </w:t>
      </w:r>
      <w:proofErr w:type="spellStart"/>
      <w:r w:rsidR="00C7203D">
        <w:t>Halbwertsdicke</w:t>
      </w:r>
      <w:proofErr w:type="spellEnd"/>
      <w:r w:rsidR="00C7203D">
        <w:t xml:space="preserve"> x</w:t>
      </w:r>
      <w:r w:rsidR="00C7203D">
        <w:rPr>
          <w:vertAlign w:val="subscript"/>
        </w:rPr>
        <w:t>1/2</w:t>
      </w:r>
    </w:p>
    <w:p w:rsidR="00C7203D" w:rsidRDefault="00C7203D" w:rsidP="00C7203D">
      <w:r>
        <w:t>X</w:t>
      </w:r>
      <w:r>
        <w:rPr>
          <w:vertAlign w:val="subscript"/>
        </w:rPr>
        <w:t>1/2</w:t>
      </w:r>
      <w:r>
        <w:t xml:space="preserve"> = (ln2)/α , hierbei ist α wieder der </w:t>
      </w:r>
      <w:proofErr w:type="spellStart"/>
      <w:r>
        <w:t>Abschwächungkoeffizient</w:t>
      </w:r>
      <w:proofErr w:type="spellEnd"/>
    </w:p>
    <w:p w:rsidR="00C7203D" w:rsidRDefault="00C7203D" w:rsidP="00C7203D">
      <w:pPr>
        <w:pStyle w:val="berschrift2"/>
      </w:pPr>
      <w:r>
        <w:t>4.4. Berechnung der noch nicht zerfallenen Kerne</w:t>
      </w:r>
    </w:p>
    <w:p w:rsidR="00C7203D" w:rsidRDefault="00C7203D" w:rsidP="00C7203D">
      <w:r>
        <w:t>n(t) = n</w:t>
      </w:r>
      <w:r>
        <w:rPr>
          <w:vertAlign w:val="subscript"/>
        </w:rPr>
        <w:t>0</w:t>
      </w:r>
      <w:r>
        <w:t xml:space="preserve"> e</w:t>
      </w:r>
      <w:r>
        <w:rPr>
          <w:vertAlign w:val="superscript"/>
        </w:rPr>
        <w:t>-</w:t>
      </w:r>
      <w:proofErr w:type="spellStart"/>
      <w:r>
        <w:rPr>
          <w:vertAlign w:val="superscript"/>
        </w:rPr>
        <w:t>λt</w:t>
      </w:r>
      <w:proofErr w:type="spellEnd"/>
      <w:r>
        <w:t xml:space="preserve"> , hierbei ist n(t) die Zahl der noch nicht zerfallenen Kerne nach der Zeit t, n</w:t>
      </w:r>
      <w:r>
        <w:rPr>
          <w:vertAlign w:val="subscript"/>
        </w:rPr>
        <w:t>0</w:t>
      </w:r>
      <w:r>
        <w:t xml:space="preserve"> die Zahl der zu Beginn vorhandenen Kerne und λ </w:t>
      </w:r>
      <w:r w:rsidR="00E016EC">
        <w:t>die Präparat spezifische Zerfallskonstante (der Kehrwert der mittleren Lebensdauer)</w:t>
      </w:r>
    </w:p>
    <w:p w:rsidR="001D40C1" w:rsidRDefault="00E016EC" w:rsidP="001D40C1">
      <w:pPr>
        <w:pStyle w:val="berschrift2"/>
      </w:pPr>
      <w:r>
        <w:t>4.5. Berechnung der Zerfalls</w:t>
      </w:r>
      <w:r w:rsidR="001D40C1">
        <w:t>konstante</w:t>
      </w:r>
    </w:p>
    <w:p w:rsidR="001D40C1" w:rsidRPr="001D40C1" w:rsidRDefault="001D40C1" w:rsidP="001D40C1">
      <w:r>
        <w:t xml:space="preserve">λ = </w:t>
      </w:r>
      <w:proofErr w:type="spellStart"/>
      <w:r>
        <w:t>ln</w:t>
      </w:r>
      <w:proofErr w:type="spellEnd"/>
      <w:r>
        <w:t>(2)/T</w:t>
      </w:r>
      <w:r>
        <w:rPr>
          <w:vertAlign w:val="subscript"/>
        </w:rPr>
        <w:t>1/2</w:t>
      </w:r>
      <w:r>
        <w:t xml:space="preserve"> hierbei ist T</w:t>
      </w:r>
      <w:r>
        <w:rPr>
          <w:vertAlign w:val="subscript"/>
        </w:rPr>
        <w:t>1/2</w:t>
      </w:r>
      <w:r>
        <w:t xml:space="preserve"> die Halbwertszeit</w:t>
      </w:r>
    </w:p>
    <w:p w:rsidR="00D0480C" w:rsidRDefault="00D0480C" w:rsidP="00D0480C">
      <w:pPr>
        <w:pStyle w:val="berschrift1"/>
      </w:pPr>
      <w:r>
        <w:lastRenderedPageBreak/>
        <w:t>5. Messwerte</w:t>
      </w:r>
    </w:p>
    <w:p w:rsidR="00D0480C" w:rsidRPr="00D0480C" w:rsidRDefault="00D0480C" w:rsidP="00D0480C">
      <w:r>
        <w:t>Siehe Originalmesswerte im Anhang</w:t>
      </w:r>
    </w:p>
    <w:p w:rsidR="00A02AA3" w:rsidRDefault="00D0480C" w:rsidP="00D0480C">
      <w:pPr>
        <w:pStyle w:val="berschrift1"/>
      </w:pPr>
      <w:r>
        <w:t>6. Auswertung</w:t>
      </w:r>
    </w:p>
    <w:p w:rsidR="001D40C1" w:rsidRDefault="001D40C1" w:rsidP="001D40C1">
      <w:pPr>
        <w:pStyle w:val="berschrift1"/>
      </w:pPr>
      <w:r>
        <w:t>7. Fehlerrechnung</w:t>
      </w:r>
    </w:p>
    <w:p w:rsidR="001D40C1" w:rsidRDefault="001D40C1" w:rsidP="001D40C1">
      <w:pPr>
        <w:pStyle w:val="berschrift2"/>
      </w:pPr>
      <w:r>
        <w:t>7.1. Fehlerquellen</w:t>
      </w:r>
    </w:p>
    <w:p w:rsidR="001D40C1" w:rsidRPr="001D40C1" w:rsidRDefault="002A4AED" w:rsidP="001D40C1">
      <w:r>
        <w:t>Der radioaktive Zerfall von Atomkernen i</w:t>
      </w:r>
      <w:r w:rsidR="00B51146">
        <w:t>st ein Zufallsprozess, dies erklärt die großen Schwankungen bei den Messwerten. Eine weitere Fehlerquelle sind die Messgeräte. Diese haben Toleranzbereiche, die eine Ungenauigkeit bei unseren Messwerten herbeiführen.</w:t>
      </w:r>
      <w:bookmarkStart w:id="0" w:name="_GoBack"/>
      <w:bookmarkEnd w:id="0"/>
    </w:p>
    <w:sectPr w:rsidR="001D40C1" w:rsidRPr="001D40C1" w:rsidSect="00046D5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C4714"/>
    <w:multiLevelType w:val="hybridMultilevel"/>
    <w:tmpl w:val="282EEA5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86F425E"/>
    <w:multiLevelType w:val="hybridMultilevel"/>
    <w:tmpl w:val="C0F86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A0285B"/>
    <w:multiLevelType w:val="hybridMultilevel"/>
    <w:tmpl w:val="C736E4D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1106C"/>
    <w:rsid w:val="00046D51"/>
    <w:rsid w:val="00054170"/>
    <w:rsid w:val="00137D00"/>
    <w:rsid w:val="001D40C1"/>
    <w:rsid w:val="001D7745"/>
    <w:rsid w:val="002750E3"/>
    <w:rsid w:val="00282886"/>
    <w:rsid w:val="002A4AED"/>
    <w:rsid w:val="003A520B"/>
    <w:rsid w:val="00773971"/>
    <w:rsid w:val="007C30D0"/>
    <w:rsid w:val="00817E3A"/>
    <w:rsid w:val="0091106C"/>
    <w:rsid w:val="009C736D"/>
    <w:rsid w:val="00A02AA3"/>
    <w:rsid w:val="00B51146"/>
    <w:rsid w:val="00C540E1"/>
    <w:rsid w:val="00C7203D"/>
    <w:rsid w:val="00D0480C"/>
    <w:rsid w:val="00DB7F12"/>
    <w:rsid w:val="00E016EC"/>
    <w:rsid w:val="00E239DA"/>
    <w:rsid w:val="00E73484"/>
    <w:rsid w:val="00E93959"/>
    <w:rsid w:val="00F117CA"/>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50E3"/>
    <w:pPr>
      <w:jc w:val="both"/>
    </w:pPr>
    <w:rPr>
      <w:sz w:val="24"/>
    </w:rPr>
  </w:style>
  <w:style w:type="paragraph" w:styleId="berschrift1">
    <w:name w:val="heading 1"/>
    <w:basedOn w:val="Standard"/>
    <w:next w:val="Standard"/>
    <w:link w:val="berschrift1Zchn"/>
    <w:uiPriority w:val="9"/>
    <w:qFormat/>
    <w:rsid w:val="0091106C"/>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91106C"/>
    <w:pPr>
      <w:keepNext/>
      <w:keepLines/>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73484"/>
    <w:pPr>
      <w:keepNext/>
      <w:keepLines/>
      <w:spacing w:before="40" w:after="0"/>
      <w:outlineLvl w:val="2"/>
    </w:pPr>
    <w:rPr>
      <w:rFonts w:asciiTheme="majorHAnsi" w:eastAsiaTheme="majorEastAsia" w:hAnsiTheme="majorHAnsi"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106C"/>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91106C"/>
    <w:rPr>
      <w:rFonts w:asciiTheme="majorHAnsi" w:eastAsiaTheme="majorEastAsia" w:hAnsiTheme="majorHAnsi" w:cstheme="majorBidi"/>
      <w:sz w:val="26"/>
      <w:szCs w:val="26"/>
    </w:rPr>
  </w:style>
  <w:style w:type="paragraph" w:styleId="Listenabsatz">
    <w:name w:val="List Paragraph"/>
    <w:basedOn w:val="Standard"/>
    <w:uiPriority w:val="34"/>
    <w:qFormat/>
    <w:rsid w:val="00E93959"/>
    <w:pPr>
      <w:ind w:left="720"/>
      <w:contextualSpacing/>
    </w:pPr>
  </w:style>
  <w:style w:type="character" w:customStyle="1" w:styleId="berschrift3Zchn">
    <w:name w:val="Überschrift 3 Zchn"/>
    <w:basedOn w:val="Absatz-Standardschriftart"/>
    <w:link w:val="berschrift3"/>
    <w:uiPriority w:val="9"/>
    <w:rsid w:val="00E73484"/>
    <w:rPr>
      <w:rFonts w:asciiTheme="majorHAnsi" w:eastAsiaTheme="majorEastAsia" w:hAnsiTheme="majorHAnsi" w:cstheme="majorBidi"/>
      <w:sz w:val="24"/>
      <w:szCs w:val="24"/>
    </w:rPr>
  </w:style>
  <w:style w:type="character" w:styleId="Platzhaltertext">
    <w:name w:val="Placeholder Text"/>
    <w:basedOn w:val="Absatz-Standardschriftart"/>
    <w:uiPriority w:val="99"/>
    <w:semiHidden/>
    <w:rsid w:val="00D0480C"/>
    <w:rPr>
      <w:color w:val="808080"/>
    </w:rPr>
  </w:style>
  <w:style w:type="paragraph" w:styleId="Sprechblasentext">
    <w:name w:val="Balloon Text"/>
    <w:basedOn w:val="Standard"/>
    <w:link w:val="SprechblasentextZchn"/>
    <w:uiPriority w:val="99"/>
    <w:semiHidden/>
    <w:unhideWhenUsed/>
    <w:rsid w:val="0028288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288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3443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Florentin</dc:creator>
  <cp:lastModifiedBy>Gentian</cp:lastModifiedBy>
  <cp:revision>2</cp:revision>
  <dcterms:created xsi:type="dcterms:W3CDTF">2015-05-11T02:01:00Z</dcterms:created>
  <dcterms:modified xsi:type="dcterms:W3CDTF">2015-05-11T02:01:00Z</dcterms:modified>
</cp:coreProperties>
</file>