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9"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4"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p>
      <w:pPr>
        <w:pStyle w:val="BodyText"/>
      </w:pPr>
      <w:r>
        <w:rPr>
          <w:b/>
          <w:bCs/>
        </w:rPr>
        <w:t xml:space="preserve">How confident, in plain terms.</w:t>
      </w:r>
      <w:r>
        <w:t xml:space="preserve"> </w:t>
      </w:r>
      <w:r>
        <w:t xml:space="preserve">The cluster test is a random procedure, so we re-ran it</w:t>
      </w:r>
      <w:r>
        <w:t xml:space="preserve"> </w:t>
      </w:r>
      <w:r>
        <w:t xml:space="preserve">200 times. It returned these same three wards in</w:t>
      </w:r>
      <w:r>
        <w:t xml:space="preserve"> </w:t>
      </w:r>
      <w:r>
        <w:rPr>
          <w:b/>
          <w:bCs/>
        </w:rPr>
        <w:t xml:space="preserve">nine runs out of ten</w:t>
      </w:r>
      <w:r>
        <w:t xml:space="preserve">, and in</w:t>
      </w:r>
      <w:r>
        <w:t xml:space="preserve"> </w:t>
      </w:r>
      <w:r>
        <w:rPr>
          <w:b/>
          <w:bCs/>
        </w:rPr>
        <w:t xml:space="preserve">one run</w:t>
      </w:r>
      <w:r>
        <w:rPr>
          <w:b/>
          <w:bCs/>
        </w:rPr>
        <w:t xml:space="preserve"> </w:t>
      </w:r>
      <w:r>
        <w:rPr>
          <w:b/>
          <w:bCs/>
        </w:rPr>
        <w:t xml:space="preserve">in fourteen it found no significant cluster at all</w:t>
      </w:r>
      <w:r>
        <w:t xml:space="preserve">. The three either appear together or</w:t>
      </w:r>
      <w:r>
        <w:t xml:space="preserve"> </w:t>
      </w:r>
      <w:r>
        <w:t xml:space="preserve">not at all, which is how the correction for multiple testing behaves.</w:t>
      </w:r>
    </w:p>
    <w:p>
      <w:pPr>
        <w:pStyle w:val="BodyText"/>
      </w:pPr>
      <w:r>
        <w:rPr>
          <w:b/>
          <w:bCs/>
        </w:rPr>
        <w:t xml:space="preserve">What that means for today’s decision:</w:t>
      </w:r>
      <w:r>
        <w:t xml:space="preserve"> </w:t>
      </w:r>
      <w:r>
        <w:t xml:space="preserve">deploy on the three, but for two different</w:t>
      </w:r>
      <w:r>
        <w:t xml:space="preserve"> </w:t>
      </w:r>
      <w:r>
        <w:t xml:space="preserve">reasons, because they are not equally robust.</w:t>
      </w:r>
    </w:p>
    <w:p>
      <w:pPr>
        <w:pStyle w:val="BodyText"/>
      </w:pPr>
      <w:r>
        <w:rPr>
          <w:b/>
          <w:bCs/>
        </w:rPr>
        <w:t xml:space="preserve">Baluru stands on its own evidence.</w:t>
      </w:r>
      <w:r>
        <w:t xml:space="preserve"> </w:t>
      </w:r>
      <w:r>
        <w:t xml:space="preserve">It has the most missed settlements of any ward in</w:t>
      </w:r>
      <w:r>
        <w:t xml:space="preserve"> </w:t>
      </w:r>
      <w:r>
        <w:t xml:space="preserve">the state (31) and much the largest child population (27,137). It is the right destination</w:t>
      </w:r>
      <w:r>
        <w:t xml:space="preserve"> </w:t>
      </w:r>
      <w:r>
        <w:t xml:space="preserve">whether or not the cluster test clears its threshold on any given run.</w:t>
      </w:r>
    </w:p>
    <w:p>
      <w:pPr>
        <w:pStyle w:val="BodyText"/>
      </w:pPr>
      <w:r>
        <w:rPr>
          <w:b/>
          <w:bCs/>
        </w:rPr>
        <w:t xml:space="preserve">Daberi and Kungomi stand on the cluster.</w:t>
      </w:r>
      <w:r>
        <w:t xml:space="preserve"> </w:t>
      </w:r>
      <w:r>
        <w:t xml:space="preserve">Individually they are 10 missed settlements</w:t>
      </w:r>
      <w:r>
        <w:t xml:space="preserve"> </w:t>
      </w:r>
      <w:r>
        <w:t xml:space="preserve">each, which is mid-table - they are recommended because their</w:t>
      </w:r>
      <w:r>
        <w:t xml:space="preserve"> </w:t>
      </w:r>
      <w:r>
        <w:rPr>
          <w:i/>
          <w:iCs/>
        </w:rPr>
        <w:t xml:space="preserve">neighbourhoods</w:t>
      </w:r>
      <w:r>
        <w:t xml:space="preserve"> </w:t>
      </w:r>
      <w:r>
        <w:t xml:space="preserve">share the</w:t>
      </w:r>
      <w:r>
        <w:t xml:space="preserve"> </w:t>
      </w:r>
      <w:r>
        <w:t xml:space="preserve">pattern and they are adjacent to each other, so one team covers both. If the cluster</w:t>
      </w:r>
      <w:r>
        <w:t xml:space="preserve"> </w:t>
      </w:r>
      <w:r>
        <w:t xml:space="preserve">finding were withdrawn, so is the case for prioritising them over, say, Satita (30 missed)</w:t>
      </w:r>
      <w:r>
        <w:t xml:space="preserve"> </w:t>
      </w:r>
      <w:r>
        <w:t xml:space="preserve">or Bayoyi (27).</w:t>
      </w:r>
    </w:p>
    <w:p>
      <w:pPr>
        <w:pStyle w:val="BodyText"/>
      </w:pPr>
      <w:r>
        <w:rPr>
          <w:b/>
          <w:bCs/>
        </w:rPr>
        <w:t xml:space="preserve">It does not mean these three are proven and the rest are clear.</w:t>
      </w:r>
      <w:r>
        <w:t xml:space="preserve"> </w:t>
      </w:r>
      <w:r>
        <w:t xml:space="preserve">Eight Idi-Oro wards have</w:t>
      </w:r>
      <w:r>
        <w:t xml:space="preserve"> </w:t>
      </w:r>
      <w:r>
        <w:t xml:space="preserve">more missed settlements than Daberi or Kungomi and are not hot spots, because their</w:t>
      </w:r>
      <w:r>
        <w:t xml:space="preserve"> </w:t>
      </w:r>
      <w:r>
        <w:t xml:space="preserve">neighbours look the same as they do - a high but uniform level does not produce a local</w:t>
      </w:r>
      <w:r>
        <w:t xml:space="preserve"> </w:t>
      </w:r>
      <w:r>
        <w:t xml:space="preserve">peak. Absence from this list is not evidence of adequate coverage.</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6"/>
    <w:bookmarkStart w:id="77"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7"/>
    <w:bookmarkStart w:id="78"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8"/>
    <w:bookmarkEnd w:id="79"/>
    <w:bookmarkStart w:id="81" w:name="part-2---question-3"/>
    <w:p>
      <w:pPr>
        <w:pStyle w:val="Heading1"/>
      </w:pPr>
      <w:r>
        <w:t xml:space="preserve">PART 2 - Question 3</w:t>
      </w:r>
    </w:p>
    <w:bookmarkStart w:id="80" w:name="Xb5ba152138ee213dcb428dc72dca60af6ae2b5b"/>
    <w:p>
      <w:pPr>
        <w:pStyle w:val="Heading2"/>
      </w:pPr>
      <w:r>
        <w:t xml:space="preserve">Converting a paper questionnaire into a digital form</w:t>
      </w:r>
    </w:p>
    <w:bookmarkEnd w:id="80"/>
    <w:bookmarkEnd w:id="81"/>
    <w:bookmarkStart w:id="111"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7" w:name="a.-internal-contradictions"/>
    <w:p>
      <w:pPr>
        <w:pStyle w:val="Heading2"/>
      </w:pPr>
      <w:r>
        <w:t xml:space="preserve">A. Internal contradictions</w:t>
      </w:r>
    </w:p>
    <w:bookmarkStart w:id="82"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2"/>
    <w:bookmarkStart w:id="83"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3"/>
    <w:bookmarkStart w:id="84"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4"/>
    <w:bookmarkStart w:id="85"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5"/>
    <w:bookmarkStart w:id="86"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6"/>
    <w:bookmarkEnd w:id="87"/>
    <w:bookmarkStart w:id="91" w:name="Xceca479f048da83baa179ce598a55907463bfad"/>
    <w:p>
      <w:pPr>
        <w:pStyle w:val="Heading2"/>
      </w:pPr>
      <w:r>
        <w:t xml:space="preserve">B. Missing or ambiguous skip instructions</w:t>
      </w:r>
    </w:p>
    <w:bookmarkStart w:id="88"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8"/>
    <w:bookmarkStart w:id="89"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9"/>
    <w:bookmarkStart w:id="90"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0"/>
    <w:bookmarkEnd w:id="91"/>
    <w:bookmarkStart w:id="96" w:name="X4e917062567efb82fbb2afcfda167a5dbc7ca75"/>
    <w:p>
      <w:pPr>
        <w:pStyle w:val="Heading2"/>
      </w:pPr>
      <w:r>
        <w:t xml:space="preserve">C. Data the paper design permits that cannot be analysed</w:t>
      </w:r>
    </w:p>
    <w:bookmarkStart w:id="92"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2"/>
    <w:bookmarkStart w:id="93"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3"/>
    <w:bookmarkStart w:id="94"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4"/>
    <w:bookmarkStart w:id="95"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5"/>
    <w:bookmarkEnd w:id="96"/>
    <w:bookmarkStart w:id="100"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7"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7"/>
    <w:bookmarkStart w:id="98"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8"/>
    <w:bookmarkStart w:id="99"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9"/>
    <w:bookmarkEnd w:id="100"/>
    <w:bookmarkStart w:id="106" w:name="X0652cf655fa0bfc2ff657d329e1328ae1bb1f1f"/>
    <w:p>
      <w:pPr>
        <w:pStyle w:val="Heading2"/>
      </w:pPr>
      <w:r>
        <w:t xml:space="preserve">E. Problems with the external files, not the questionnaire</w:t>
      </w:r>
    </w:p>
    <w:bookmarkStart w:id="101"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1"/>
    <w:bookmarkStart w:id="102"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2"/>
    <w:bookmarkStart w:id="103"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3"/>
    <w:bookmarkStart w:id="104"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4"/>
    <w:bookmarkStart w:id="105"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5"/>
    <w:bookmarkEnd w:id="106"/>
    <w:bookmarkStart w:id="109" w:name="X4462a16baa3c5fa4d8463a916f89ca2f32f16ec"/>
    <w:p>
      <w:pPr>
        <w:pStyle w:val="Heading2"/>
      </w:pPr>
      <w:r>
        <w:t xml:space="preserve">F. Tension between the questionnaire and the stated operating conditions</w:t>
      </w:r>
    </w:p>
    <w:bookmarkStart w:id="107"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7"/>
    <w:bookmarkStart w:id="108"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8"/>
    <w:bookmarkEnd w:id="109"/>
    <w:bookmarkStart w:id="110"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0"/>
    <w:bookmarkEnd w:id="111"/>
    <w:bookmarkStart w:id="121" w:name="X044f9465f7b6aaa2a7871651665c055145f4019"/>
    <w:p>
      <w:pPr>
        <w:pStyle w:val="Heading1"/>
      </w:pPr>
      <w:r>
        <w:t xml:space="preserve">Sentinel codes and how they are stored (F3)</w:t>
      </w:r>
    </w:p>
    <w:bookmarkStart w:id="112"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2"/>
    <w:bookmarkStart w:id="113"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3"/>
    <w:bookmarkStart w:id="114"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4"/>
    <w:bookmarkStart w:id="119"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5"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5"/>
    <w:bookmarkStart w:id="116"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6"/>
    <w:bookmarkStart w:id="117"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7"/>
    <w:bookmarkStart w:id="118"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8"/>
    <w:bookmarkEnd w:id="119"/>
    <w:bookmarkStart w:id="120"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0"/>
    <w:bookmarkEnd w:id="121"/>
    <w:bookmarkStart w:id="128"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4" w:name="the-two-the-question-requires"/>
    <w:p>
      <w:pPr>
        <w:pStyle w:val="Heading2"/>
      </w:pPr>
      <w:r>
        <w:t xml:space="preserve">The two the question requires</w:t>
      </w:r>
    </w:p>
    <w:bookmarkStart w:id="122"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2"/>
    <w:bookmarkStart w:id="123"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3"/>
    <w:bookmarkEnd w:id="124"/>
    <w:bookmarkStart w:id="125"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5"/>
    <w:bookmarkStart w:id="126"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6"/>
    <w:bookmarkStart w:id="127"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7"/>
    <w:bookmarkEnd w:id="128"/>
    <w:bookmarkStart w:id="158"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9"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9"/>
    <w:bookmarkStart w:id="130"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0"/>
    <w:bookmarkStart w:id="148" w:name="blocking-constraints"/>
    <w:p>
      <w:pPr>
        <w:pStyle w:val="Heading2"/>
      </w:pPr>
      <w:r>
        <w:t xml:space="preserve">Blocking constraints</w:t>
      </w:r>
    </w:p>
    <w:bookmarkStart w:id="131"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1"/>
    <w:bookmarkStart w:id="132"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2"/>
    <w:bookmarkStart w:id="133"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3"/>
    <w:bookmarkStart w:id="134"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4"/>
    <w:bookmarkStart w:id="135"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5"/>
    <w:bookmarkStart w:id="136"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6"/>
    <w:bookmarkStart w:id="137"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7"/>
    <w:bookmarkStart w:id="138"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8"/>
    <w:bookmarkStart w:id="139"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9"/>
    <w:bookmarkStart w:id="140"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0"/>
    <w:bookmarkStart w:id="141"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41"/>
    <w:bookmarkStart w:id="142"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2"/>
    <w:bookmarkStart w:id="143"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3"/>
    <w:bookmarkStart w:id="144"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4"/>
    <w:bookmarkStart w:id="145"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5"/>
    <w:bookmarkStart w:id="146"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6"/>
    <w:bookmarkStart w:id="147"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7"/>
    <w:bookmarkEnd w:id="148"/>
    <w:bookmarkStart w:id="155" w:name="warnings"/>
    <w:p>
      <w:pPr>
        <w:pStyle w:val="Heading2"/>
      </w:pPr>
      <w:r>
        <w:t xml:space="preserve">Warnings</w:t>
      </w:r>
    </w:p>
    <w:bookmarkStart w:id="149"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9"/>
    <w:bookmarkStart w:id="150"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1"/>
    <w:bookmarkStart w:id="152"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2"/>
    <w:bookmarkStart w:id="153"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3"/>
    <w:bookmarkStart w:id="154"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4"/>
    <w:bookmarkEnd w:id="155"/>
    <w:bookmarkStart w:id="156"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6"/>
    <w:bookmarkStart w:id="157"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7"/>
    <w:bookmarkEnd w:id="158"/>
    <w:bookmarkStart w:id="173" w:name="X31c962bf404df7ee489d32cb3ff1c820e6780f1"/>
    <w:p>
      <w:pPr>
        <w:pStyle w:val="Heading1"/>
      </w:pPr>
      <w:r>
        <w:t xml:space="preserve">How this form was validated, and how to validate it yourself</w:t>
      </w:r>
    </w:p>
    <w:bookmarkStart w:id="159"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9"/>
    <w:bookmarkStart w:id="160"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0"/>
    <w:bookmarkStart w:id="161"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1"/>
    <w:bookmarkStart w:id="164"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2"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2"/>
    <w:bookmarkStart w:id="163"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3"/>
    <w:bookmarkEnd w:id="164"/>
    <w:bookmarkStart w:id="169" w:name="validating-it-properly"/>
    <w:p>
      <w:pPr>
        <w:pStyle w:val="Heading2"/>
      </w:pPr>
      <w:r>
        <w:t xml:space="preserve">Validating it properly</w:t>
      </w:r>
    </w:p>
    <w:bookmarkStart w:id="165"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5"/>
    <w:bookmarkStart w:id="166" w:name="then-the-two-deployment-routes"/>
    <w:p>
      <w:pPr>
        <w:pStyle w:val="Heading3"/>
      </w:pPr>
      <w:r>
        <w:t xml:space="preserve">Then the two deployment routes</w:t>
      </w:r>
    </w:p>
    <w:bookmarkEnd w:id="166"/>
    <w:bookmarkStart w:id="167"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7"/>
    <w:bookmarkStart w:id="168"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8"/>
    <w:bookmarkEnd w:id="169"/>
    <w:bookmarkStart w:id="170"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0"/>
    <w:bookmarkStart w:id="171"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1"/>
    <w:bookmarkStart w:id="172"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837e3e4267593cec6e953a7418217aa095e7a64"/>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20260630-9c5d68</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'20260630-9c5d68'</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2026-08-01T06:22:04Z</dcterms:created>
  <dcterms:modified xsi:type="dcterms:W3CDTF">2026-08-01T06:22:04Z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