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Observing Novelty and Uniqueness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Novelty and uniqueness are not the same, though the words often appear near one another.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Novelty is best approached, for now, as a multifaceted term. It can appear across many domains: environment, thought, relation, perception, language, biology, technology, culture, and lived experience. Each appearance may be valid, yet novelty itself remains difficult to map in any final or coherent manner. It does not require one specific configuration. A novel condition may arrive as beauty, threat, friction, unfamiliarity, contradiction, rupture, invitation, accident, possibility, or noise.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Novelty alone, however, is not necessarily generative. Without enough structure to receive and metabolize it, novelty may collapse into noise. A system exposed to too much unintegrated novelty may fragment, distort, or move toward entropy. Novelty becomes meaningful only when a system can remain coherent enough to enter relationship with what has not yet been integrated.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Uniqueness is different. On the surface, uniqueness may appear as a novel event, but what sets it apart is singularity. The unique is not merely new, rare, unusual, or different. Difference alone may remain noise. The unique appears where novelty becomes coherent enough to form a singular node within a field.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means uniqueness is not an isolated property. A thing is not unique only because it stands apart. It becomes unique because it cannot be exchanged for another without altering the structure, relation, or meaning of the field around it. Its singularity is not decorative. It is relational and load-bearing.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Novel environments therefore appear to be the only known breeding grounds for unique aspects of self. A system cannot discover its singularity by remaining only inside conditions that confirm what it already knows how to be. Repetition may stabilize identity, but novelty tests its edges. It reveals which structures are rigid, which are adaptive, which are inherited, which are chosen, and which capacities have not yet been called into form.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does not unfold as a simple sequence. Novelty does not mechanically produce uniqueness. Too little novelty produces repetition without discovery. Too much novelty produces fragmentation without form. The generative threshold lies between sameness and overwhelm: enough difference to call forth what has not yet appeared, enough coherence to hold what begins to emerge.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deeper structure appears in the relation between observer and observed. Novelty is not located only in what is observed. It appears where the observed exceeds the observer’s available frame. Something becomes novel when it presses beyond what the observing system has already learned to recognize, name, or integrate.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Uniqueness is also not located only in the thing itself. It emerges when that excess becomes coherent enough to form a singular node of relation. The hidden stabilizing binary is observer and observed. Novelty opens between them. Coherence holds the relation. Uniqueness may emerge where the relation becomes structurally meaningful.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unique, then, is not difference alone. It is difference held well enough to become singular.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