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6912"/>
      </w:tblGrid>
      <w:tr>
        <w:tc>
          <w:tcPr>
            <w:tcW w:type="dxa" w:w="5544"/>
            <w:shd w:fill="0F172A"/>
            <w:tcMar>
              <w:top w:w="160" w:type="dxa"/>
              <w:bottom w:w="160" w:type="dxa"/>
              <w:left w:w="16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2DD4BF"/>
                <w:sz w:val="19"/>
              </w:rPr>
              <w:t>CONTACT</w:t>
            </w:r>
          </w:p>
          <w:p>
            <w:r>
              <w:rPr>
                <w:rFonts w:ascii="Arial" w:hAnsi="Arial"/>
                <w:color w:val="E2E8F0"/>
                <w:sz w:val="17"/>
              </w:rPr>
              <w:t>Darius K. Vance</w:t>
              <w:br/>
              <w:t>Denver, CO</w:t>
              <w:br/>
              <w:t>(555) 304-9182</w:t>
              <w:br/>
              <w:t>darius.vance@example.com</w:t>
              <w:br/>
              <w:t>github.com/darius-cloud</w:t>
              <w:br/>
              <w:t>linkedin.com/in/dariusvance-dummy</w:t>
            </w:r>
          </w:p>
          <w:p>
            <w:pPr>
              <w:spacing w:before="240"/>
            </w:pPr>
            <w:r>
              <w:rPr>
                <w:rFonts w:ascii="Arial" w:hAnsi="Arial"/>
                <w:b/>
                <w:color w:val="2DD4BF"/>
                <w:sz w:val="19"/>
              </w:rPr>
              <w:t>ARCHITECTURE SKILLS</w:t>
            </w:r>
          </w:p>
          <w:p>
            <w:r>
              <w:rPr>
                <w:rFonts w:ascii="Arial" w:hAnsi="Arial"/>
                <w:color w:val="CBD5E1"/>
                <w:sz w:val="17"/>
              </w:rPr>
              <w:t>• Cloud: AWS &amp; Azure Cloud</w:t>
              <w:br/>
              <w:t>• Containers: Kubernetes (EKS)</w:t>
              <w:br/>
              <w:t>• Microservices Architecture</w:t>
              <w:br/>
              <w:t>• Terraform / GitOps (ArgoCD)</w:t>
              <w:br/>
              <w:t>• Kafka &amp; Event-Driven Systems</w:t>
              <w:br/>
              <w:t>• PostgreSQL, Snowflake, Redis</w:t>
              <w:br/>
              <w:t>• SOC2 &amp; Cloud Security</w:t>
            </w:r>
          </w:p>
          <w:p>
            <w:pPr>
              <w:spacing w:before="240"/>
            </w:pPr>
            <w:r>
              <w:rPr>
                <w:rFonts w:ascii="Arial" w:hAnsi="Arial"/>
                <w:b/>
                <w:color w:val="2DD4BF"/>
                <w:sz w:val="19"/>
              </w:rPr>
              <w:t>CERTIFICATIONS</w:t>
            </w:r>
          </w:p>
          <w:p>
            <w:r>
              <w:rPr>
                <w:rFonts w:ascii="Arial" w:hAnsi="Arial"/>
                <w:color w:val="CBD5E1"/>
                <w:sz w:val="17"/>
              </w:rPr>
              <w:t>• AWS Solutions Architect Pro</w:t>
              <w:br/>
              <w:t>• Certified Kubernetes Admin (CKA)</w:t>
              <w:br/>
              <w:t>• HashiCorp Terraform Pro</w:t>
            </w:r>
          </w:p>
        </w:tc>
        <w:tc>
          <w:tcPr>
            <w:tcW w:type="dxa" w:w="5544"/>
            <w:tcMar>
              <w:top w:w="160" w:type="dxa"/>
              <w:bottom w:w="160" w:type="dxa"/>
              <w:left w:w="18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40"/>
              </w:rPr>
              <w:t>DARIUS K. VANCE</w:t>
              <w:br/>
            </w:r>
            <w:r>
              <w:rPr>
                <w:rFonts w:ascii="Arial" w:hAnsi="Arial"/>
                <w:b/>
                <w:color w:val="0D9488"/>
                <w:sz w:val="20"/>
              </w:rPr>
              <w:t>PRINCIPAL CLOUD ARCHITECT &amp; INFRASTRUCTURE DIRECTOR</w:t>
            </w:r>
          </w:p>
          <w:p>
            <w:pPr>
              <w:spacing w:before="160"/>
            </w:pPr>
            <w:r>
              <w:rPr>
                <w:rFonts w:ascii="Arial" w:hAnsi="Arial"/>
                <w:b/>
                <w:color w:val="0D9488"/>
                <w:sz w:val="20"/>
              </w:rPr>
              <w:t>EXECUTIVE SUMMARY</w:t>
              <w:br/>
            </w:r>
            <w:r>
              <w:rPr>
                <w:rFonts w:ascii="Arial" w:hAnsi="Arial"/>
                <w:color w:val="334155"/>
                <w:sz w:val="18"/>
              </w:rPr>
              <w:t>Principal Cloud Architect with 11+ years engineering multi-tenant enterprise platforms, cloud migrations, and distributed data fabrics. Orchestrated zero-downtime infrastructure powering $100M+ ARR SaaS portfolios while lowering annual cloud run-rates by 35%.</w:t>
            </w:r>
          </w:p>
          <w:p>
            <w:pPr>
              <w:spacing w:before="160"/>
            </w:pPr>
            <w:r>
              <w:rPr>
                <w:rFonts w:ascii="Arial" w:hAnsi="Arial"/>
                <w:b/>
                <w:color w:val="0D9488"/>
                <w:sz w:val="20"/>
              </w:rPr>
              <w:t>LEADERSHIP &amp; ARCHITECTURE EXPERIENCE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sz w:val="18"/>
              </w:rPr>
              <w:t>Principal Cloud Solutions Architect</w:t>
              <w:br/>
              <w:t>StrataCore Cloud Systems (Denver, CO) | 2021 – Present</w:t>
            </w:r>
          </w:p>
          <w:p>
            <w:pPr>
              <w:spacing w:after="40"/>
            </w:pPr>
            <w:r>
              <w:rPr>
                <w:rFonts w:ascii="Arial" w:hAnsi="Arial"/>
                <w:sz w:val="17"/>
              </w:rPr>
              <w:t>• Directed migration of 140 on-premise microservices to AWS EKS with zero client downtime, reducing annual hosting overhead by $1.8M.</w:t>
            </w:r>
          </w:p>
          <w:p>
            <w:pPr>
              <w:spacing w:after="40"/>
            </w:pPr>
            <w:r>
              <w:rPr>
                <w:rFonts w:ascii="Arial" w:hAnsi="Arial"/>
                <w:sz w:val="17"/>
              </w:rPr>
              <w:t>• Authored disaster recovery strategy achieving RPO &lt; 15 seconds and RTO &lt; 2 minutes across multi-region clusters.</w:t>
            </w:r>
          </w:p>
          <w:p>
            <w:pPr>
              <w:spacing w:after="40"/>
            </w:pPr>
            <w:r>
              <w:rPr>
                <w:rFonts w:ascii="Arial" w:hAnsi="Arial"/>
                <w:sz w:val="17"/>
              </w:rPr>
              <w:t>• Governed engineering standards across 45 platform engineers and SREs.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sz w:val="18"/>
              </w:rPr>
              <w:t>Lead Infrastructure Architect</w:t>
              <w:br/>
              <w:t>Apex Financial Technologies (Boulder, CO) | 2017 – 2021</w:t>
            </w:r>
          </w:p>
          <w:p>
            <w:pPr>
              <w:spacing w:after="40"/>
            </w:pPr>
            <w:r>
              <w:rPr>
                <w:rFonts w:ascii="Arial" w:hAnsi="Arial"/>
                <w:sz w:val="17"/>
              </w:rPr>
              <w:t>• Built automated compliance-as-code pipelines enabling rapid SOC2 Type II and FedRAMP readiness.</w:t>
            </w:r>
          </w:p>
          <w:p>
            <w:pPr>
              <w:spacing w:after="40"/>
            </w:pPr>
            <w:r>
              <w:rPr>
                <w:rFonts w:ascii="Arial" w:hAnsi="Arial"/>
                <w:sz w:val="17"/>
              </w:rPr>
              <w:t>• Standardized infrastructure provisioning with reusable Terraform modules across 12 application teams.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color w:val="0D9488"/>
                <w:sz w:val="20"/>
              </w:rPr>
              <w:t>EDUCATION</w:t>
              <w:br/>
            </w:r>
            <w:r>
              <w:rPr>
                <w:sz w:val="17"/>
              </w:rPr>
              <w:t>M.S. in Computer Science — University of Colorado Boulder (2017)</w:t>
              <w:br/>
              <w:t>B.S. in Computer Engineering — Colorado State University (2014)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