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3888"/>
      </w:tblGrid>
      <w:tr>
        <w:tc>
          <w:tcPr>
            <w:tcW w:type="dxa" w:w="52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212529"/>
                <w:sz w:val="36"/>
              </w:rPr>
              <w:t>DEVON M. HASTINGS</w:t>
              <w:br/>
            </w:r>
            <w:r>
              <w:rPr>
                <w:rFonts w:ascii="Calibri" w:hAnsi="Calibri"/>
                <w:b/>
                <w:color w:val="6C757D"/>
                <w:sz w:val="20"/>
              </w:rPr>
              <w:t>Senior Financial Analyst &amp; Investment Controller</w:t>
            </w:r>
          </w:p>
        </w:tc>
        <w:tc>
          <w:tcPr>
            <w:tcW w:type="dxa" w:w="52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Chicago, IL</w:t>
              <w:br/>
              <w:t>(555) 839-2041</w:t>
              <w:br/>
              <w:t>devon.hastings@example.com</w:t>
              <w:br/>
              <w:t>linkedin.com/in/devon-hastings-dummy</w:t>
            </w:r>
          </w:p>
        </w:tc>
      </w:tr>
    </w:tbl>
    <w:p>
      <w:pPr>
        <w:spacing w:before="60" w:after="120"/>
        <w:pBdr>
          <w:bottom w:val="single" w:sz="8" w:space="1" w:color="495057"/>
        </w:pBdr>
      </w:pPr>
    </w:p>
    <w:p>
      <w:r>
        <w:rPr>
          <w:rFonts w:ascii="Calibri" w:hAnsi="Calibri"/>
          <w:b/>
          <w:color w:val="212529"/>
          <w:sz w:val="21"/>
        </w:rPr>
        <w:t>CORE COMPETENCIES &amp; FINANCIAL SYSTEMS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Mar>
              <w:top w:w="50" w:type="dxa"/>
              <w:bottom w:w="50" w:type="dxa"/>
              <w:left w:w="60" w:type="dxa"/>
              <w:right w:w="60" w:type="dxa"/>
            </w:tcMar>
            <w:shd w:fill="F8F9FA"/>
          </w:tcPr>
          <w:p>
            <w:r>
              <w:rPr>
                <w:rFonts w:ascii="Calibri" w:hAnsi="Calibri"/>
                <w:sz w:val="17"/>
              </w:rPr>
              <w:t>• Financial Modeling (DCF, LBO)</w:t>
            </w:r>
          </w:p>
        </w:tc>
        <w:tc>
          <w:tcPr>
            <w:tcW w:type="dxa" w:w="3504"/>
            <w:tcMar>
              <w:top w:w="50" w:type="dxa"/>
              <w:bottom w:w="50" w:type="dxa"/>
              <w:left w:w="60" w:type="dxa"/>
              <w:right w:w="60" w:type="dxa"/>
            </w:tcMar>
            <w:shd w:fill="F8F9FA"/>
          </w:tcPr>
          <w:p>
            <w:r>
              <w:rPr>
                <w:rFonts w:ascii="Calibri" w:hAnsi="Calibri"/>
                <w:sz w:val="17"/>
              </w:rPr>
              <w:t>• ERP: SAP S/4HANA &amp; Oracle NetSuite</w:t>
            </w:r>
          </w:p>
        </w:tc>
        <w:tc>
          <w:tcPr>
            <w:tcW w:type="dxa" w:w="3504"/>
            <w:tcMar>
              <w:top w:w="50" w:type="dxa"/>
              <w:bottom w:w="50" w:type="dxa"/>
              <w:left w:w="60" w:type="dxa"/>
              <w:right w:w="60" w:type="dxa"/>
            </w:tcMar>
            <w:shd w:fill="F8F9FA"/>
          </w:tcPr>
          <w:p>
            <w:r>
              <w:rPr>
                <w:rFonts w:ascii="Calibri" w:hAnsi="Calibri"/>
                <w:sz w:val="17"/>
              </w:rPr>
              <w:t>• US GAAP &amp; IFRS Reporting</w:t>
            </w:r>
          </w:p>
        </w:tc>
      </w:tr>
      <w:tr>
        <w:tc>
          <w:tcPr>
            <w:tcW w:type="dxa" w:w="35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Calibri" w:hAnsi="Calibri"/>
                <w:sz w:val="17"/>
              </w:rPr>
              <w:t>• Budgeting &amp; Multi-Year Forecasting</w:t>
            </w:r>
          </w:p>
        </w:tc>
        <w:tc>
          <w:tcPr>
            <w:tcW w:type="dxa" w:w="35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Calibri" w:hAnsi="Calibri"/>
                <w:sz w:val="17"/>
              </w:rPr>
              <w:t>• BI &amp; Data: Tableau, Power BI, SQL</w:t>
            </w:r>
          </w:p>
        </w:tc>
        <w:tc>
          <w:tcPr>
            <w:tcW w:type="dxa" w:w="35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</w:tcPr>
          <w:p>
            <w:r>
              <w:rPr>
                <w:rFonts w:ascii="Calibri" w:hAnsi="Calibri"/>
                <w:sz w:val="17"/>
              </w:rPr>
              <w:t>• Capital Allocation &amp; Debt Restructuring</w:t>
            </w:r>
          </w:p>
        </w:tc>
      </w:tr>
      <w:tr>
        <w:tc>
          <w:tcPr>
            <w:tcW w:type="dxa" w:w="3504"/>
            <w:tcMar>
              <w:top w:w="50" w:type="dxa"/>
              <w:bottom w:w="50" w:type="dxa"/>
              <w:left w:w="60" w:type="dxa"/>
              <w:right w:w="60" w:type="dxa"/>
            </w:tcMar>
            <w:shd w:fill="F8F9FA"/>
          </w:tcPr>
          <w:p>
            <w:r>
              <w:rPr>
                <w:rFonts w:ascii="Calibri" w:hAnsi="Calibri"/>
                <w:sz w:val="17"/>
              </w:rPr>
              <w:t>• Variance &amp; P&amp;L Analysis</w:t>
            </w:r>
          </w:p>
        </w:tc>
        <w:tc>
          <w:tcPr>
            <w:tcW w:type="dxa" w:w="3504"/>
            <w:tcMar>
              <w:top w:w="50" w:type="dxa"/>
              <w:bottom w:w="50" w:type="dxa"/>
              <w:left w:w="60" w:type="dxa"/>
              <w:right w:w="60" w:type="dxa"/>
            </w:tcMar>
            <w:shd w:fill="F8F9FA"/>
          </w:tcPr>
          <w:p>
            <w:r>
              <w:rPr>
                <w:rFonts w:ascii="Calibri" w:hAnsi="Calibri"/>
                <w:sz w:val="17"/>
              </w:rPr>
              <w:t>• Advanced Excel (VBA, Power Query)</w:t>
            </w:r>
          </w:p>
        </w:tc>
        <w:tc>
          <w:tcPr>
            <w:tcW w:type="dxa" w:w="3504"/>
            <w:tcMar>
              <w:top w:w="50" w:type="dxa"/>
              <w:bottom w:w="50" w:type="dxa"/>
              <w:left w:w="60" w:type="dxa"/>
              <w:right w:w="60" w:type="dxa"/>
            </w:tcMar>
            <w:shd w:fill="F8F9FA"/>
          </w:tcPr>
          <w:p>
            <w:r>
              <w:rPr>
                <w:rFonts w:ascii="Calibri" w:hAnsi="Calibri"/>
                <w:sz w:val="17"/>
              </w:rPr>
              <w:t>• M&amp;A Due Diligence &amp; Audit Defense</w:t>
            </w:r>
          </w:p>
        </w:tc>
      </w:tr>
    </w:tbl>
    <w:p>
      <w:pPr>
        <w:spacing w:before="160"/>
      </w:pPr>
      <w:r>
        <w:rPr>
          <w:rFonts w:ascii="Calibri" w:hAnsi="Calibri"/>
          <w:b/>
          <w:color w:val="212529"/>
          <w:sz w:val="21"/>
        </w:rPr>
        <w:t>CAREER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3168"/>
        <w:gridCol w:w="5328"/>
      </w:tblGrid>
      <w:tr>
        <w:tc>
          <w:tcPr>
            <w:tcW w:type="dxa" w:w="3504"/>
            <w:tcMar>
              <w:top w:w="60" w:type="dxa"/>
              <w:bottom w:w="60" w:type="dxa"/>
              <w:left w:w="60" w:type="dxa"/>
              <w:right w:w="60" w:type="dxa"/>
            </w:tcMar>
            <w:shd w:fill="F1F3F5"/>
          </w:tcPr>
          <w:p>
            <w:r>
              <w:rPr>
                <w:rFonts w:ascii="Calibri" w:hAnsi="Calibri"/>
                <w:b/>
                <w:sz w:val="17"/>
              </w:rPr>
              <w:t>2021 – Present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Senior FP&amp;A Controller</w:t>
              <w:br/>
              <w:t>Sterling Horizon Capital (Chicago, IL)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• Directed quarterly forecast cadence for $180M commercial asset portfolio with 98.4% variance accuracy.</w:t>
              <w:br/>
              <w:t>• Automated monthly executive slide generation via SQL &amp; Power Query, saving 18 manual work-hours per cycle.</w:t>
              <w:br/>
              <w:t>• Assessed financial underwriting for 5 successful acquisitions totaling $44M.</w:t>
            </w:r>
          </w:p>
        </w:tc>
      </w:tr>
      <w:tr>
        <w:tc>
          <w:tcPr>
            <w:tcW w:type="dxa" w:w="3504"/>
            <w:tcMar>
              <w:top w:w="60" w:type="dxa"/>
              <w:bottom w:w="60" w:type="dxa"/>
              <w:left w:w="60" w:type="dxa"/>
              <w:right w:w="60" w:type="dxa"/>
            </w:tcMar>
            <w:shd w:fill="F1F3F5"/>
          </w:tcPr>
          <w:p>
            <w:r>
              <w:rPr>
                <w:rFonts w:ascii="Calibri" w:hAnsi="Calibri"/>
                <w:b/>
                <w:sz w:val="17"/>
              </w:rPr>
              <w:t>2018 – 2021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Financial Analyst</w:t>
              <w:br/>
              <w:t>Pinnacle Advisory Partners (Milwaukee, WI)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• Maintained 3-statement operating models and liquidity sensitivity stress tests.</w:t>
              <w:br/>
              <w:t>• Streamlined SG&amp;A operational expenditures across 12 branch locations, recovering $1.2M in annual cost leakage.</w:t>
            </w:r>
          </w:p>
        </w:tc>
      </w:tr>
    </w:tbl>
    <w:p>
      <w:pPr>
        <w:spacing w:before="160"/>
      </w:pPr>
      <w:r>
        <w:rPr>
          <w:rFonts w:ascii="Calibri" w:hAnsi="Calibri"/>
          <w:b/>
          <w:sz w:val="21"/>
        </w:rPr>
        <w:t>EDUCATION &amp; CERTIFICATIONS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52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B.S. in Finance &amp; Accounting | Northwestern University</w:t>
            </w:r>
          </w:p>
        </w:tc>
        <w:tc>
          <w:tcPr>
            <w:tcW w:type="dxa" w:w="52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Graduated: 2018 | Magna Cum Laude</w:t>
            </w:r>
          </w:p>
        </w:tc>
      </w:tr>
      <w:tr>
        <w:tc>
          <w:tcPr>
            <w:tcW w:type="dxa" w:w="52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Chartered Financial Analyst (CFA) — Level III Candidate</w:t>
            </w:r>
          </w:p>
        </w:tc>
        <w:tc>
          <w:tcPr>
            <w:tcW w:type="dxa" w:w="525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Active License / Enrollment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