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Georgia" w:hAnsi="Georgia"/>
          <w:b/>
          <w:color w:val="222222"/>
          <w:sz w:val="44"/>
        </w:rPr>
        <w:t>ELEANOR R. VANCE</w:t>
        <w:br/>
      </w:r>
      <w:r>
        <w:rPr>
          <w:rFonts w:ascii="Georgia" w:hAnsi="Georgia"/>
          <w:b/>
          <w:color w:val="782828"/>
          <w:sz w:val="22"/>
        </w:rPr>
        <w:t>VICE PRESIDENT OF GLOBAL OPERATIONS &amp; SUPPLY CHAIN</w:t>
        <w:br/>
      </w:r>
      <w:r>
        <w:rPr>
          <w:rFonts w:ascii="Georgia" w:hAnsi="Georgia"/>
          <w:color w:val="505050"/>
          <w:sz w:val="19"/>
        </w:rPr>
        <w:t>Chicago, IL  |  +1 (312) 555-8492  |  e.vance.executive@example.com  |  linkedin.com/in/eleanor-vance-dummy</w:t>
      </w:r>
    </w:p>
    <w:p>
      <w:pPr>
        <w:spacing w:before="80" w:after="160"/>
        <w:pBdr>
          <w:bottom w:val="single" w:sz="8" w:space="1" w:color="782828"/>
        </w:pBdr>
      </w:pPr>
    </w:p>
    <w:p>
      <w:pPr>
        <w:spacing w:before="120" w:after="60"/>
      </w:pPr>
      <w:r>
        <w:rPr>
          <w:rFonts w:ascii="Georgia" w:hAnsi="Georgia"/>
          <w:b/>
          <w:color w:val="782828"/>
          <w:sz w:val="22"/>
        </w:rPr>
        <w:t>EXECUTIVE PROFILE</w:t>
      </w:r>
    </w:p>
    <w:p>
      <w:pPr>
        <w:spacing w:after="120"/>
      </w:pPr>
      <w:r>
        <w:rPr>
          <w:rFonts w:ascii="Georgia" w:hAnsi="Georgia"/>
          <w:sz w:val="20"/>
        </w:rPr>
        <w:t>Accomplished Operations Executive with 16+ years of enterprise leadership managing $250M+ P&amp;L operations across North America, EMEA, and APAC. Recognized for orchestrating large-scale operational transformations, post-merger integrations, Lean Six Sigma deployment, and end-to-end logistics modernization. Trusted advisor to Board of Directors with proven ability to scale global operating margins while delivering superior customer satisfaction.</w:t>
      </w:r>
    </w:p>
    <w:p>
      <w:pPr>
        <w:spacing w:before="80" w:after="80"/>
      </w:pPr>
      <w:r>
        <w:rPr>
          <w:rFonts w:ascii="Georgia" w:hAnsi="Georgia"/>
          <w:b/>
          <w:color w:val="782828"/>
          <w:sz w:val="22"/>
        </w:rPr>
        <w:t>CORE EXECUTIVE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Georgia" w:hAnsi="Georgia"/>
                <w:color w:val="323232"/>
                <w:sz w:val="17"/>
              </w:rPr>
              <w:t>• Multi-Site P&amp;L Management ($250M+)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Georgia" w:hAnsi="Georgia"/>
                <w:color w:val="323232"/>
                <w:sz w:val="17"/>
              </w:rPr>
              <w:t>• Global Supply Chain Optimization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Georgia" w:hAnsi="Georgia"/>
                <w:color w:val="323232"/>
                <w:sz w:val="17"/>
              </w:rPr>
              <w:t>• Post-Merger Operational Integration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Georgia" w:hAnsi="Georgia"/>
                <w:color w:val="323232"/>
                <w:sz w:val="17"/>
              </w:rPr>
              <w:t>• Lean Six Sigma / Continuous Improvement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Georgia" w:hAnsi="Georgia"/>
                <w:color w:val="323232"/>
                <w:sz w:val="17"/>
              </w:rPr>
              <w:t>• Strategic Procurement &amp; Vendor Negotiation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Georgia" w:hAnsi="Georgia"/>
                <w:color w:val="323232"/>
                <w:sz w:val="17"/>
              </w:rPr>
              <w:t>• Cross-Functional Executive Leadership</w:t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Georgia" w:hAnsi="Georgia"/>
                <w:color w:val="323232"/>
                <w:sz w:val="17"/>
              </w:rPr>
              <w:t>• Enterprise Risk Management &amp; Compliance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Georgia" w:hAnsi="Georgia"/>
                <w:color w:val="323232"/>
                <w:sz w:val="17"/>
              </w:rPr>
              <w:t>• ERP Systems Modernization (SAP S/4HANA)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Georgia" w:hAnsi="Georgia"/>
                <w:color w:val="323232"/>
                <w:sz w:val="17"/>
              </w:rPr>
              <w:t>• Boardroom Governance &amp; Stakeholder Relations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Georgia" w:hAnsi="Georgia"/>
          <w:b/>
          <w:color w:val="782828"/>
          <w:sz w:val="22"/>
        </w:rPr>
        <w:t>EXECUTIVE EXPERIENCE</w:t>
      </w:r>
    </w:p>
    <w:p>
      <w:pPr>
        <w:spacing w:before="120" w:after="20"/>
      </w:pPr>
      <w:r>
        <w:rPr>
          <w:rFonts w:ascii="Georgia" w:hAnsi="Georgia"/>
          <w:b/>
          <w:sz w:val="21"/>
        </w:rPr>
        <w:t>Vice President of Global Operations  —  Crestview Manufacturing &amp; Logistics Group</w:t>
      </w:r>
    </w:p>
    <w:p>
      <w:pPr>
        <w:spacing w:after="60"/>
      </w:pPr>
      <w:r>
        <w:rPr>
          <w:rFonts w:ascii="Georgia" w:hAnsi="Georgia"/>
          <w:i/>
          <w:color w:val="646464"/>
          <w:sz w:val="18"/>
        </w:rPr>
        <w:t>2020 – Present  |  Chicago, IL</w:t>
      </w:r>
    </w:p>
    <w:p>
      <w:pPr>
        <w:pStyle w:val="ListBullet"/>
        <w:spacing w:after="40"/>
      </w:pPr>
      <w:r>
        <w:rPr>
          <w:rFonts w:ascii="Georgia" w:hAnsi="Georgia"/>
          <w:sz w:val="19"/>
        </w:rPr>
        <w:t>Oversee operating strategy and continuous performance across 18 manufacturing facilities and 1,200+ personnel worldwide, maintaining direct oversight of a $320M operational budget.</w:t>
      </w:r>
    </w:p>
    <w:p>
      <w:pPr>
        <w:pStyle w:val="ListBullet"/>
        <w:spacing w:after="40"/>
      </w:pPr>
      <w:r>
        <w:rPr>
          <w:rFonts w:ascii="Georgia" w:hAnsi="Georgia"/>
          <w:sz w:val="19"/>
        </w:rPr>
        <w:t>Instituted standardized Lean manufacturing methodologies that yielded a $28.4M operating cost reduction within 24 months without head-count reduction.</w:t>
      </w:r>
    </w:p>
    <w:p>
      <w:pPr>
        <w:pStyle w:val="ListBullet"/>
        <w:spacing w:after="40"/>
      </w:pPr>
      <w:r>
        <w:rPr>
          <w:rFonts w:ascii="Georgia" w:hAnsi="Georgia"/>
          <w:sz w:val="19"/>
        </w:rPr>
        <w:t>Led cross-border logistics restructuring through the COVID-19 and post-pandemic disruptions, cutting order fulfillment cycle times from 19 days to 11 days.</w:t>
      </w:r>
    </w:p>
    <w:p>
      <w:pPr>
        <w:pStyle w:val="ListBullet"/>
        <w:spacing w:after="40"/>
      </w:pPr>
      <w:r>
        <w:rPr>
          <w:rFonts w:ascii="Georgia" w:hAnsi="Georgia"/>
          <w:sz w:val="19"/>
        </w:rPr>
        <w:t>Presented quarterly strategic updates, operational KPIs, and risk evaluations directly to the Executive Committee and Board of Directors.</w:t>
      </w:r>
    </w:p>
    <w:p>
      <w:pPr>
        <w:spacing w:before="120" w:after="20"/>
      </w:pPr>
      <w:r>
        <w:rPr>
          <w:rFonts w:ascii="Georgia" w:hAnsi="Georgia"/>
          <w:b/>
          <w:sz w:val="21"/>
        </w:rPr>
        <w:t>Director of Supply Chain &amp; Manufacturing  —  Apex Industrial Technologies</w:t>
      </w:r>
    </w:p>
    <w:p>
      <w:pPr>
        <w:spacing w:after="60"/>
      </w:pPr>
      <w:r>
        <w:rPr>
          <w:rFonts w:ascii="Georgia" w:hAnsi="Georgia"/>
          <w:i/>
          <w:color w:val="646464"/>
          <w:sz w:val="18"/>
        </w:rPr>
        <w:t>2015 – 2020  |  Detroit, MI</w:t>
      </w:r>
    </w:p>
    <w:p>
      <w:pPr>
        <w:pStyle w:val="ListBullet"/>
        <w:spacing w:after="40"/>
      </w:pPr>
      <w:r>
        <w:rPr>
          <w:rFonts w:ascii="Georgia" w:hAnsi="Georgia"/>
          <w:sz w:val="19"/>
        </w:rPr>
        <w:t>Spearheaded enterprise-wide rollout of SAP S/4HANA migration across 6 distribution hubs, completed 2 months ahead of schedule and 8% under budget.</w:t>
      </w:r>
    </w:p>
    <w:p>
      <w:pPr>
        <w:pStyle w:val="ListBullet"/>
        <w:spacing w:after="40"/>
      </w:pPr>
      <w:r>
        <w:rPr>
          <w:rFonts w:ascii="Georgia" w:hAnsi="Georgia"/>
          <w:sz w:val="19"/>
        </w:rPr>
        <w:t>Renegotiated key Tier-1 carrier contracts delivering $9.6M in recurring freight savings over a 3-year agreement cycle.</w:t>
      </w:r>
    </w:p>
    <w:p>
      <w:pPr>
        <w:pStyle w:val="ListBullet"/>
        <w:spacing w:after="40"/>
      </w:pPr>
      <w:r>
        <w:rPr>
          <w:rFonts w:ascii="Georgia" w:hAnsi="Georgia"/>
          <w:sz w:val="19"/>
        </w:rPr>
        <w:t>Achieved OSHA voluntary protection status across all sites, improving team safety records by 64%.</w:t>
      </w:r>
    </w:p>
    <w:p>
      <w:pPr>
        <w:spacing w:before="120" w:after="40"/>
      </w:pPr>
      <w:r>
        <w:rPr>
          <w:rFonts w:ascii="Georgia" w:hAnsi="Georgia"/>
          <w:b/>
          <w:color w:val="782828"/>
          <w:sz w:val="22"/>
        </w:rPr>
        <w:t>EDUCATION &amp; CREDENTIALS</w:t>
      </w:r>
    </w:p>
    <w:p>
      <w:r>
        <w:rPr>
          <w:rFonts w:ascii="Georgia" w:hAnsi="Georgia"/>
          <w:sz w:val="19"/>
        </w:rPr>
        <w:t>Master of Business Administration (MBA)  •  The University of Chicago Booth School of Business (2013)</w:t>
        <w:br/>
        <w:t>Bachelor of Science in Industrial Engineering  •  Purdue University (2007)</w:t>
        <w:br/>
        <w:t>Credentials: Lean Six Sigma Master Black Belt (CSSMBB)  •  APICS Certified Supply Chain Professional (CSCP)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