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751A" w14:textId="767048CD" w:rsidR="004E73BA" w:rsidRDefault="00BF0930" w:rsidP="00BF0930">
      <w:pPr>
        <w:pStyle w:val="Heading1"/>
      </w:pPr>
      <w:r>
        <w:t xml:space="preserve">Things need to be </w:t>
      </w:r>
      <w:proofErr w:type="gramStart"/>
      <w:r>
        <w:t>clarify</w:t>
      </w:r>
      <w:proofErr w:type="gramEnd"/>
      <w:r>
        <w:t xml:space="preserve"> from the Experts?</w:t>
      </w:r>
    </w:p>
    <w:p w14:paraId="12FC7AC6" w14:textId="77777777" w:rsidR="00BF0930" w:rsidRDefault="00BF0930" w:rsidP="00BF0930"/>
    <w:p w14:paraId="172DDCDD" w14:textId="1E8B15A8" w:rsidR="00BF0930" w:rsidRDefault="00BF0930" w:rsidP="00BF0930">
      <w:r w:rsidRPr="00BF0930">
        <w:t>Part A — The vulnerability model</w:t>
      </w:r>
    </w:p>
    <w:p w14:paraId="537A97B2" w14:textId="13CE49AA" w:rsidR="00DD4764" w:rsidRDefault="00DD4764" w:rsidP="008C4D46">
      <w:pPr>
        <w:pStyle w:val="Heading3"/>
      </w:pPr>
      <w:r w:rsidRPr="00DD4764">
        <w:t>A1 — How should the hazard and exposure indices combine?</w:t>
      </w:r>
    </w:p>
    <w:p w14:paraId="788CB65F" w14:textId="6BAB5DBF" w:rsidR="00551086" w:rsidRDefault="008C4D46" w:rsidP="00DD4764">
      <w:r>
        <w:t xml:space="preserve">Q: </w:t>
      </w:r>
      <w:proofErr w:type="gramStart"/>
      <w:r w:rsidR="00DE2DFE">
        <w:t>Vulnerability(</w:t>
      </w:r>
      <w:proofErr w:type="gramEnd"/>
      <w:r w:rsidR="00DE2DFE">
        <w:t xml:space="preserve">d, s, h) = </w:t>
      </w:r>
      <w:proofErr w:type="gramStart"/>
      <w:r w:rsidR="00DE2DFE">
        <w:t>f( Exposure</w:t>
      </w:r>
      <w:proofErr w:type="gramEnd"/>
      <w:r w:rsidR="00DE2DFE">
        <w:t xml:space="preserve">(d, s, h), </w:t>
      </w:r>
      <w:proofErr w:type="gramStart"/>
      <w:r w:rsidR="00DE2DFE">
        <w:t>Hazard(</w:t>
      </w:r>
      <w:proofErr w:type="gramEnd"/>
      <w:r w:rsidR="00DE2DFE">
        <w:t>d, h</w:t>
      </w:r>
      <w:proofErr w:type="gramStart"/>
      <w:r w:rsidR="00DE2DFE">
        <w:t>) )</w:t>
      </w:r>
      <w:proofErr w:type="gramEnd"/>
      <w:r w:rsidR="00DE2DFE">
        <w:t>. The function f is never given a form anywhere in the document. What should it be?</w:t>
      </w:r>
    </w:p>
    <w:p w14:paraId="2AFA843C" w14:textId="77777777" w:rsidR="000E7BB3" w:rsidRDefault="000E7BB3" w:rsidP="000E7BB3">
      <w:pPr>
        <w:spacing w:before="60" w:after="120"/>
        <w:ind w:left="340"/>
      </w:pPr>
      <w:r>
        <w:rPr>
          <w:rFonts w:ascii="Consolas" w:eastAsia="Consolas" w:hAnsi="Consolas" w:cs="Consolas"/>
          <w:color w:val="333333"/>
          <w:sz w:val="18"/>
          <w:szCs w:val="18"/>
        </w:rPr>
        <w:t>Hazard index(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d,h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    = Σ wᵢ ×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normalised(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vᵢ, d)     Σ wᵢ = 100</w:t>
      </w:r>
    </w:p>
    <w:p w14:paraId="67AFB8E7" w14:textId="77777777" w:rsidR="000E7BB3" w:rsidRDefault="000E7BB3" w:rsidP="000E7BB3">
      <w:pPr>
        <w:spacing w:before="60" w:after="120"/>
        <w:ind w:left="340"/>
      </w:pPr>
      <w:r>
        <w:rPr>
          <w:rFonts w:ascii="Consolas" w:eastAsia="Consolas" w:hAnsi="Consolas" w:cs="Consolas"/>
          <w:color w:val="333333"/>
          <w:sz w:val="18"/>
          <w:szCs w:val="18"/>
        </w:rPr>
        <w:t>Exposure index(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d,s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,h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= Σ wⱼ ×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normalised(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vⱼ, d)     Σ wⱼ = 100</w:t>
      </w:r>
    </w:p>
    <w:p w14:paraId="5B555E38" w14:textId="77777777" w:rsidR="000E7BB3" w:rsidRDefault="000E7BB3" w:rsidP="000E7BB3">
      <w:pPr>
        <w:spacing w:before="60" w:after="120"/>
        <w:ind w:left="340"/>
      </w:pPr>
      <w:r>
        <w:rPr>
          <w:rFonts w:ascii="Consolas" w:eastAsia="Consolas" w:hAnsi="Consolas" w:cs="Consolas"/>
          <w:color w:val="333333"/>
          <w:sz w:val="18"/>
          <w:szCs w:val="18"/>
        </w:rPr>
        <w:t>Vulnerability(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d,s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 =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f( Exposure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,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Hazard )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← undefined</w:t>
      </w:r>
    </w:p>
    <w:p w14:paraId="7DF9D112" w14:textId="77777777" w:rsidR="008C4D46" w:rsidRDefault="008C4D46" w:rsidP="008C4D46">
      <w:pPr>
        <w:pStyle w:val="Heading3"/>
        <w:spacing w:before="240"/>
      </w:pPr>
      <w:r>
        <w:t>A2 — Are min-max normalisation and pooled scope the right defaults?</w:t>
      </w:r>
    </w:p>
    <w:p w14:paraId="01FFF350" w14:textId="4A56A767" w:rsidR="00C71461" w:rsidRDefault="009665CC" w:rsidP="00C71461">
      <w:pPr>
        <w:spacing w:after="120" w:line="276" w:lineRule="auto"/>
      </w:pPr>
      <w:r>
        <w:t xml:space="preserve">Q: </w:t>
      </w:r>
      <w:r w:rsidR="00C71461">
        <w:t xml:space="preserve">All 174 variables currently carry </w:t>
      </w:r>
      <w:proofErr w:type="spellStart"/>
      <w:r w:rsidR="00C71461">
        <w:t>norm_method</w:t>
      </w:r>
      <w:proofErr w:type="spellEnd"/>
      <w:r w:rsidR="00C71461">
        <w:t xml:space="preserve"> = minmax and </w:t>
      </w:r>
      <w:proofErr w:type="spellStart"/>
      <w:r w:rsidR="00C71461">
        <w:t>norm_scope</w:t>
      </w:r>
      <w:proofErr w:type="spellEnd"/>
      <w:r w:rsidR="00C71461">
        <w:t xml:space="preserve"> = pooled by database default. Should this stand for every variable, or should some be treated differently?</w:t>
      </w:r>
    </w:p>
    <w:p w14:paraId="563D0C06" w14:textId="077FD71C" w:rsidR="00F724B0" w:rsidRDefault="00F724B0" w:rsidP="00C71461">
      <w:pPr>
        <w:spacing w:after="120" w:line="276" w:lineRule="auto"/>
      </w:pPr>
      <w:r>
        <w:t>A:</w:t>
      </w:r>
      <w:r w:rsidRPr="00F724B0">
        <w:rPr>
          <w:sz w:val="19"/>
          <w:szCs w:val="19"/>
        </w:rPr>
        <w:t xml:space="preserve"> </w:t>
      </w:r>
      <w:r>
        <w:rPr>
          <w:sz w:val="19"/>
          <w:szCs w:val="19"/>
        </w:rPr>
        <w:t>Min-max, pooled across periods, for all 174 variables.</w:t>
      </w:r>
    </w:p>
    <w:p w14:paraId="2E164566" w14:textId="77777777" w:rsidR="00F01B39" w:rsidRDefault="00F01B39" w:rsidP="00F01B39">
      <w:pPr>
        <w:pStyle w:val="Heading3"/>
        <w:spacing w:before="240"/>
      </w:pPr>
      <w:r>
        <w:t>A3 — What should happen when a province is only partly entered?</w:t>
      </w:r>
    </w:p>
    <w:p w14:paraId="5B042FA3" w14:textId="77777777" w:rsidR="006775CD" w:rsidRDefault="009665CC" w:rsidP="006775CD">
      <w:pPr>
        <w:spacing w:after="120" w:line="276" w:lineRule="auto"/>
      </w:pPr>
      <w:r>
        <w:t xml:space="preserve">Q: </w:t>
      </w:r>
      <w:r w:rsidR="006775CD">
        <w:t xml:space="preserve">when a profile's divisions are incompletely entered: hold computation until the set is </w:t>
      </w:r>
      <w:proofErr w:type="gramStart"/>
      <w:r w:rsidR="006775CD">
        <w:t>complete, or</w:t>
      </w:r>
      <w:proofErr w:type="gramEnd"/>
      <w:r w:rsidR="006775CD">
        <w:t xml:space="preserve"> normalise against fixed configured bounds. Which should apply, and to what?</w:t>
      </w:r>
    </w:p>
    <w:p w14:paraId="0AF1B44D" w14:textId="22A27CBA" w:rsidR="00E2294B" w:rsidRDefault="00E2294B" w:rsidP="006775CD">
      <w:pPr>
        <w:spacing w:after="120" w:line="276" w:lineRule="auto"/>
      </w:pPr>
      <w:r>
        <w:t xml:space="preserve">A: </w:t>
      </w:r>
      <w:r>
        <w:rPr>
          <w:sz w:val="19"/>
          <w:szCs w:val="19"/>
        </w:rPr>
        <w:t>No score is computed for a profile until every division in its province has a value.</w:t>
      </w:r>
    </w:p>
    <w:p w14:paraId="15AD155C" w14:textId="77777777" w:rsidR="003E4F16" w:rsidRDefault="003E4F16" w:rsidP="003E4F16">
      <w:pPr>
        <w:pStyle w:val="Heading3"/>
        <w:spacing w:before="240"/>
      </w:pPr>
      <w:r>
        <w:t>A4 — How should the 1,783 unweighted memberships be weighted?</w:t>
      </w:r>
    </w:p>
    <w:p w14:paraId="0182CE34" w14:textId="33A5AC63" w:rsidR="00EB7401" w:rsidRDefault="00EB7401" w:rsidP="00EB7401">
      <w:pPr>
        <w:spacing w:after="120" w:line="276" w:lineRule="auto"/>
      </w:pPr>
      <w:proofErr w:type="gramStart"/>
      <w:r>
        <w:t>Q:</w:t>
      </w:r>
      <w:r>
        <w:t>Of</w:t>
      </w:r>
      <w:proofErr w:type="gramEnd"/>
      <w:r>
        <w:t xml:space="preserve"> 3,664 variable-to-profile memberships, 1,783 carry no weight. The engine refuses to compute any profile containing an unweighted variable. By what method should these weights be set?</w:t>
      </w:r>
    </w:p>
    <w:p w14:paraId="3D871A93" w14:textId="38B9D3EC" w:rsidR="00EB7401" w:rsidRDefault="00EB7401" w:rsidP="00EB7401">
      <w:pPr>
        <w:spacing w:after="120" w:line="276" w:lineRule="auto"/>
        <w:rPr>
          <w:sz w:val="19"/>
          <w:szCs w:val="19"/>
        </w:rPr>
      </w:pPr>
      <w:r>
        <w:t xml:space="preserve">A: </w:t>
      </w:r>
      <w:r w:rsidR="00806BDB">
        <w:rPr>
          <w:sz w:val="19"/>
          <w:szCs w:val="19"/>
        </w:rPr>
        <w:t>The panel states each weight for each affected profile.</w:t>
      </w:r>
    </w:p>
    <w:p w14:paraId="62D6C7E1" w14:textId="77777777" w:rsidR="0047443E" w:rsidRDefault="0047443E" w:rsidP="0047443E">
      <w:pPr>
        <w:pStyle w:val="Heading1"/>
      </w:pPr>
      <w:r>
        <w:t>Part B — Time and period semantics</w:t>
      </w:r>
    </w:p>
    <w:p w14:paraId="572AB652" w14:textId="77777777" w:rsidR="00BA11F7" w:rsidRDefault="00BA11F7" w:rsidP="00BA11F7">
      <w:pPr>
        <w:pStyle w:val="Heading3"/>
        <w:spacing w:before="240"/>
      </w:pPr>
      <w:r>
        <w:t>B1 — Confirm: a period value is a typical year, not a multi-year total</w:t>
      </w:r>
    </w:p>
    <w:p w14:paraId="2A06255A" w14:textId="28576006" w:rsidR="006A70C8" w:rsidRDefault="008A11F1" w:rsidP="006A70C8">
      <w:pPr>
        <w:spacing w:after="120" w:line="276" w:lineRule="auto"/>
      </w:pPr>
      <w:proofErr w:type="gramStart"/>
      <w:r>
        <w:t>Q :</w:t>
      </w:r>
      <w:r w:rsidR="006A70C8">
        <w:t>A</w:t>
      </w:r>
      <w:proofErr w:type="gramEnd"/>
      <w:r w:rsidR="006A70C8">
        <w:t xml:space="preserve"> cell in a period tab holds one number. Does that number describe a typical single year within the period, or the sum across the whole period?</w:t>
      </w:r>
    </w:p>
    <w:p w14:paraId="1E151374" w14:textId="6DE7E758" w:rsidR="0047443E" w:rsidRPr="0047443E" w:rsidRDefault="008A11F1" w:rsidP="0047443E">
      <w:r>
        <w:lastRenderedPageBreak/>
        <w:t xml:space="preserve">A: </w:t>
      </w:r>
      <w:r>
        <w:rPr>
          <w:sz w:val="19"/>
          <w:szCs w:val="19"/>
        </w:rPr>
        <w:t>A period value is a typical year for all variables except the tagged exceptions</w:t>
      </w:r>
    </w:p>
    <w:p w14:paraId="4BC3F6AD" w14:textId="77777777" w:rsidR="00726ED8" w:rsidRDefault="00726ED8" w:rsidP="00EB7401">
      <w:pPr>
        <w:spacing w:after="120" w:line="276" w:lineRule="auto"/>
      </w:pPr>
    </w:p>
    <w:p w14:paraId="760CFEEB" w14:textId="77777777" w:rsidR="001454B5" w:rsidRDefault="001454B5" w:rsidP="001454B5">
      <w:pPr>
        <w:pStyle w:val="Heading3"/>
        <w:spacing w:before="240"/>
      </w:pPr>
      <w:r>
        <w:t>B2 — Confirm: where periods overlap, the later period wins</w:t>
      </w:r>
    </w:p>
    <w:p w14:paraId="4D18776C" w14:textId="77777777" w:rsidR="00637B53" w:rsidRDefault="00637B53" w:rsidP="00637B53">
      <w:pPr>
        <w:spacing w:after="120" w:line="276" w:lineRule="auto"/>
      </w:pPr>
      <w:r>
        <w:t xml:space="preserve">Q: </w:t>
      </w:r>
      <w:r>
        <w:t>The year 2025 belongs to both 2020–2025 and 2025–2030. A query for 2025 must resolve to one of them. Which?</w:t>
      </w:r>
    </w:p>
    <w:p w14:paraId="79A8988B" w14:textId="6F8D2F61" w:rsidR="00EB7401" w:rsidRDefault="00E32297" w:rsidP="00EB7401">
      <w:pPr>
        <w:spacing w:after="120" w:line="276" w:lineRule="auto"/>
        <w:rPr>
          <w:sz w:val="19"/>
          <w:szCs w:val="19"/>
        </w:rPr>
      </w:pPr>
      <w:r>
        <w:t xml:space="preserve">A: </w:t>
      </w:r>
      <w:r w:rsidR="00E95B1D">
        <w:rPr>
          <w:sz w:val="19"/>
          <w:szCs w:val="19"/>
        </w:rPr>
        <w:t>A query for 2025 returns the 2025–2030 value.</w:t>
      </w:r>
    </w:p>
    <w:p w14:paraId="1BD1D9DE" w14:textId="77777777" w:rsidR="00E95B1D" w:rsidRDefault="00E95B1D" w:rsidP="00EB7401">
      <w:pPr>
        <w:spacing w:after="120" w:line="276" w:lineRule="auto"/>
      </w:pPr>
    </w:p>
    <w:p w14:paraId="4AB77980" w14:textId="77777777" w:rsidR="00C31063" w:rsidRDefault="00C31063" w:rsidP="00C31063">
      <w:pPr>
        <w:pStyle w:val="Heading3"/>
        <w:spacing w:before="240"/>
      </w:pPr>
      <w:r>
        <w:t>B3 — Confirm the fourteen period-aggregation exceptions</w:t>
      </w:r>
    </w:p>
    <w:p w14:paraId="72AE3CE7" w14:textId="77777777" w:rsidR="00DE1BC2" w:rsidRDefault="00C31063" w:rsidP="00DE1BC2">
      <w:pPr>
        <w:spacing w:after="120" w:line="276" w:lineRule="auto"/>
      </w:pPr>
      <w:r>
        <w:t xml:space="preserve">Q: </w:t>
      </w:r>
      <w:r w:rsidR="00DE1BC2">
        <w:t xml:space="preserve">Fourteen of the 174 variables are tagged as exceptions to the typical-year rule: eleven as </w:t>
      </w:r>
      <w:proofErr w:type="spellStart"/>
      <w:r w:rsidR="00DE1BC2">
        <w:t>fixed_window</w:t>
      </w:r>
      <w:proofErr w:type="spellEnd"/>
      <w:r w:rsidR="00DE1BC2">
        <w:t xml:space="preserve"> and three as max. Are these classifications correct, and are any variables missing from the list?</w:t>
      </w:r>
    </w:p>
    <w:p w14:paraId="6F13191E" w14:textId="21636819" w:rsidR="00C31063" w:rsidRDefault="00C31063" w:rsidP="00EB7401">
      <w:pPr>
        <w:spacing w:after="120" w:line="276" w:lineRule="auto"/>
      </w:pPr>
    </w:p>
    <w:p w14:paraId="083D646C" w14:textId="77777777" w:rsidR="00A41BBE" w:rsidRDefault="00A41BBE" w:rsidP="00A41BBE">
      <w:pPr>
        <w:spacing w:after="120" w:line="276" w:lineRule="auto"/>
      </w:pPr>
      <w:r>
        <w:t xml:space="preserve">The eleven </w:t>
      </w:r>
      <w:proofErr w:type="spellStart"/>
      <w:r>
        <w:t>fixed_window</w:t>
      </w:r>
      <w:proofErr w:type="spellEnd"/>
      <w:r>
        <w:t xml:space="preserve"> variables carry their own year window in the variable definition, so the same value appears in both period tabs:</w:t>
      </w:r>
    </w:p>
    <w:p w14:paraId="364236A3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No. of Flood events — 1974 to 2023</w:t>
      </w:r>
    </w:p>
    <w:p w14:paraId="2536D5EC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No. of drought events — 1974 to 2022</w:t>
      </w:r>
    </w:p>
    <w:p w14:paraId="43B975E2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Landslide events — 1974 to 2023</w:t>
      </w:r>
    </w:p>
    <w:p w14:paraId="3CEC2CF4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No. of lightning incidents — 1974 to 2023</w:t>
      </w:r>
    </w:p>
    <w:p w14:paraId="4B855BEA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Strong wind events — 1978 to 2023</w:t>
      </w:r>
    </w:p>
    <w:p w14:paraId="56240097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Cutting failures &amp; earth slips — 2000 to 2023</w:t>
      </w:r>
    </w:p>
    <w:p w14:paraId="3E377FDD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Flood Hazard Index, Drought Hazard Index, Landslide Hazard Index</w:t>
      </w:r>
    </w:p>
    <w:p w14:paraId="72312769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SPI (Intensity), Occurrence of warm days (TX90p)</w:t>
      </w:r>
    </w:p>
    <w:p w14:paraId="62C1D716" w14:textId="77777777" w:rsidR="00A41BBE" w:rsidRDefault="00A41BBE" w:rsidP="00A41BBE">
      <w:pPr>
        <w:spacing w:after="120" w:line="276" w:lineRule="auto"/>
      </w:pPr>
      <w:r>
        <w:t>The three max variables state a maximum over a fixed historical window and are already aggregates:</w:t>
      </w:r>
    </w:p>
    <w:p w14:paraId="41654F38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Max # of flood affected people during 1974 to 2023</w:t>
      </w:r>
    </w:p>
    <w:p w14:paraId="669CE438" w14:textId="77777777" w:rsidR="00A41BBE" w:rsidRDefault="00A41BBE" w:rsidP="00A41BBE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Max # of drought affected people during 1974 to 2022</w:t>
      </w:r>
    </w:p>
    <w:p w14:paraId="2BEC201F" w14:textId="77777777" w:rsidR="00A41BBE" w:rsidRPr="00BA0726" w:rsidRDefault="00A41BBE" w:rsidP="00A41BBE">
      <w:pPr>
        <w:pStyle w:val="ListParagraph"/>
        <w:numPr>
          <w:ilvl w:val="0"/>
          <w:numId w:val="1"/>
        </w:numPr>
        <w:spacing w:after="120" w:line="276" w:lineRule="auto"/>
        <w:rPr>
          <w:sz w:val="19"/>
          <w:szCs w:val="19"/>
        </w:rPr>
      </w:pPr>
      <w:r>
        <w:t>Max # of landslide affected people during 1974 to 2023</w:t>
      </w:r>
    </w:p>
    <w:p w14:paraId="1C990EB2" w14:textId="77777777" w:rsidR="00A41BBE" w:rsidRPr="00BA0726" w:rsidRDefault="00A41BBE" w:rsidP="00A41BBE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 xml:space="preserve">A: The eleven </w:t>
      </w:r>
      <w:proofErr w:type="spellStart"/>
      <w:r>
        <w:rPr>
          <w:sz w:val="19"/>
          <w:szCs w:val="19"/>
        </w:rPr>
        <w:t>fixed_window</w:t>
      </w:r>
      <w:proofErr w:type="spellEnd"/>
      <w:r>
        <w:rPr>
          <w:sz w:val="19"/>
          <w:szCs w:val="19"/>
        </w:rPr>
        <w:t xml:space="preserve"> and three max classifications stand; no variable needs total or </w:t>
      </w:r>
      <w:proofErr w:type="spellStart"/>
      <w:r>
        <w:rPr>
          <w:sz w:val="19"/>
          <w:szCs w:val="19"/>
        </w:rPr>
        <w:t>end_of_period</w:t>
      </w:r>
      <w:proofErr w:type="spellEnd"/>
      <w:r>
        <w:rPr>
          <w:sz w:val="19"/>
          <w:szCs w:val="19"/>
        </w:rPr>
        <w:t>.</w:t>
      </w:r>
    </w:p>
    <w:p w14:paraId="0E38900A" w14:textId="4AA45CFA" w:rsidR="000E7BB3" w:rsidRDefault="000E7BB3" w:rsidP="00DD4764"/>
    <w:p w14:paraId="5C879122" w14:textId="77777777" w:rsidR="009205A5" w:rsidRDefault="009205A5" w:rsidP="009205A5">
      <w:pPr>
        <w:pStyle w:val="Heading3"/>
        <w:spacing w:before="240"/>
      </w:pPr>
      <w:r>
        <w:lastRenderedPageBreak/>
        <w:t>B4 — May one variable hold single-year and multi-period values across different divisions?</w:t>
      </w:r>
    </w:p>
    <w:p w14:paraId="3650D080" w14:textId="77777777" w:rsidR="00653760" w:rsidRDefault="00DA1608" w:rsidP="00653760">
      <w:pPr>
        <w:spacing w:after="120" w:line="276" w:lineRule="auto"/>
      </w:pPr>
      <w:r>
        <w:t xml:space="preserve">Q: </w:t>
      </w:r>
      <w:r w:rsidR="00653760">
        <w:t>Nothing currently prevents one variable from carrying a single observed year for some divisions and a typical-year period value for others. Is that acceptable, and if not, what should the rule be?</w:t>
      </w:r>
    </w:p>
    <w:p w14:paraId="12839213" w14:textId="7A4A8A88" w:rsidR="009205A5" w:rsidRDefault="00A94738" w:rsidP="00DD4764">
      <w:pPr>
        <w:rPr>
          <w:sz w:val="19"/>
          <w:szCs w:val="19"/>
        </w:rPr>
      </w:pPr>
      <w:r>
        <w:t xml:space="preserve">A: </w:t>
      </w:r>
      <w:r>
        <w:rPr>
          <w:sz w:val="19"/>
          <w:szCs w:val="19"/>
        </w:rPr>
        <w:t>A variable must use one granularity across all divisions in a profile. Mixed input is rejected at import.</w:t>
      </w:r>
    </w:p>
    <w:p w14:paraId="33C2C125" w14:textId="77777777" w:rsidR="00CB0818" w:rsidRDefault="00CB0818" w:rsidP="00DD4764">
      <w:pPr>
        <w:rPr>
          <w:sz w:val="19"/>
          <w:szCs w:val="19"/>
        </w:rPr>
      </w:pPr>
    </w:p>
    <w:p w14:paraId="718A08C5" w14:textId="77777777" w:rsidR="00CB0818" w:rsidRDefault="00CB0818" w:rsidP="00CB0818">
      <w:pPr>
        <w:pStyle w:val="Heading3"/>
        <w:spacing w:before="240"/>
      </w:pPr>
      <w:r>
        <w:t>B5 — How should fixed-window variables be shown on a time axis?</w:t>
      </w:r>
    </w:p>
    <w:p w14:paraId="0AF26C95" w14:textId="77777777" w:rsidR="006D21A7" w:rsidRDefault="006D21A7" w:rsidP="006D21A7">
      <w:pPr>
        <w:spacing w:after="120" w:line="276" w:lineRule="auto"/>
      </w:pPr>
      <w:r>
        <w:t xml:space="preserve">Q: </w:t>
      </w:r>
      <w:r>
        <w:t xml:space="preserve">The eleven </w:t>
      </w:r>
      <w:proofErr w:type="spellStart"/>
      <w:r>
        <w:t>fixed_window</w:t>
      </w:r>
      <w:proofErr w:type="spellEnd"/>
      <w:r>
        <w:t xml:space="preserve"> variables carry the same value in both period tabs. On a trend display they will draw a flat line. Is that the right presentation?</w:t>
      </w:r>
    </w:p>
    <w:p w14:paraId="148FF3D6" w14:textId="19E8E9F2" w:rsidR="00CB0818" w:rsidRDefault="00457651" w:rsidP="00DD4764">
      <w:pPr>
        <w:rPr>
          <w:sz w:val="19"/>
          <w:szCs w:val="19"/>
        </w:rPr>
      </w:pPr>
      <w:r>
        <w:t xml:space="preserve">A: </w:t>
      </w:r>
      <w:r w:rsidR="009E4D31">
        <w:rPr>
          <w:sz w:val="19"/>
          <w:szCs w:val="19"/>
        </w:rPr>
        <w:t>These variables appear on the trend chart like any other</w:t>
      </w:r>
    </w:p>
    <w:p w14:paraId="0ADF5296" w14:textId="77777777" w:rsidR="00761E1A" w:rsidRDefault="00761E1A" w:rsidP="00DD4764">
      <w:pPr>
        <w:rPr>
          <w:sz w:val="19"/>
          <w:szCs w:val="19"/>
        </w:rPr>
      </w:pPr>
    </w:p>
    <w:p w14:paraId="0355E100" w14:textId="77777777" w:rsidR="00761E1A" w:rsidRDefault="00761E1A" w:rsidP="00761E1A">
      <w:pPr>
        <w:pStyle w:val="Heading1"/>
      </w:pPr>
      <w:r>
        <w:t>Part C — Sector and hazard taxonomy</w:t>
      </w:r>
    </w:p>
    <w:p w14:paraId="48C1903F" w14:textId="77777777" w:rsidR="00A22D1F" w:rsidRDefault="00A22D1F" w:rsidP="00A22D1F">
      <w:pPr>
        <w:pStyle w:val="Heading3"/>
        <w:spacing w:before="240"/>
      </w:pPr>
      <w:r>
        <w:t>C1 — How should the 8 assessed sectors map onto the 13 NAP sectors?</w:t>
      </w:r>
    </w:p>
    <w:p w14:paraId="0EF4D745" w14:textId="77777777" w:rsidR="003638B7" w:rsidRDefault="004171BB" w:rsidP="003638B7">
      <w:pPr>
        <w:spacing w:after="120" w:line="276" w:lineRule="auto"/>
      </w:pPr>
      <w:r>
        <w:t xml:space="preserve">Q: </w:t>
      </w:r>
      <w:r w:rsidR="003638B7">
        <w:t>The platform assesses 8 sectors. The NAP names 13. The two taxonomies do not nest: Agriculture divides across two NAP sectors, while Industry and Transportation combine into one. How should the relationship be recorded?</w:t>
      </w:r>
    </w:p>
    <w:p w14:paraId="49C77164" w14:textId="61F32ADD" w:rsidR="00761E1A" w:rsidRDefault="00553CFB" w:rsidP="00DD4764">
      <w:r>
        <w:t>:</w:t>
      </w:r>
    </w:p>
    <w:p w14:paraId="29E4AE20" w14:textId="7DCC9E6E" w:rsidR="00553CFB" w:rsidRPr="00553CFB" w:rsidRDefault="004171BB" w:rsidP="00553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A: </w:t>
      </w:r>
      <w:r w:rsidR="00553CFB" w:rsidRPr="00553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NAP 13 → what you </w:t>
      </w:r>
      <w:proofErr w:type="gramStart"/>
      <w:r w:rsidR="00553CFB" w:rsidRPr="00553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actually hold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437"/>
        <w:gridCol w:w="3022"/>
        <w:gridCol w:w="867"/>
        <w:gridCol w:w="2689"/>
      </w:tblGrid>
      <w:tr w:rsidR="00553CFB" w:rsidRPr="00553CFB" w14:paraId="786728BB" w14:textId="77777777" w:rsidTr="00553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8DE03" w14:textId="77777777" w:rsidR="00553CFB" w:rsidRPr="00553CFB" w:rsidRDefault="00553CFB" w:rsidP="0055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69F182" w14:textId="77777777" w:rsidR="00553CFB" w:rsidRPr="00553CFB" w:rsidRDefault="00553CFB" w:rsidP="0055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NAP sector</w:t>
            </w:r>
          </w:p>
        </w:tc>
        <w:tc>
          <w:tcPr>
            <w:tcW w:w="0" w:type="auto"/>
            <w:vAlign w:val="center"/>
            <w:hideMark/>
          </w:tcPr>
          <w:p w14:paraId="6D62C896" w14:textId="77777777" w:rsidR="00553CFB" w:rsidRPr="00553CFB" w:rsidRDefault="00553CFB" w:rsidP="0055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Covered by</w:t>
            </w:r>
          </w:p>
        </w:tc>
        <w:tc>
          <w:tcPr>
            <w:tcW w:w="0" w:type="auto"/>
            <w:vAlign w:val="center"/>
            <w:hideMark/>
          </w:tcPr>
          <w:p w14:paraId="01B623D3" w14:textId="77777777" w:rsidR="00553CFB" w:rsidRPr="00553CFB" w:rsidRDefault="00553CFB" w:rsidP="0055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4388F68C" w14:textId="77777777" w:rsidR="00553CFB" w:rsidRPr="00553CFB" w:rsidRDefault="00553CFB" w:rsidP="0055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Status</w:t>
            </w:r>
          </w:p>
        </w:tc>
      </w:tr>
      <w:tr w:rsidR="00553CFB" w:rsidRPr="00553CFB" w14:paraId="22F1D376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96E7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B3F742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Food Security</w:t>
            </w:r>
          </w:p>
        </w:tc>
        <w:tc>
          <w:tcPr>
            <w:tcW w:w="0" w:type="auto"/>
            <w:vAlign w:val="center"/>
            <w:hideMark/>
          </w:tcPr>
          <w:p w14:paraId="0521629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Paddy, Veg &amp; OFC, Livestock ×5, Inland Fishery</w:t>
            </w:r>
          </w:p>
        </w:tc>
        <w:tc>
          <w:tcPr>
            <w:tcW w:w="0" w:type="auto"/>
            <w:vAlign w:val="center"/>
            <w:hideMark/>
          </w:tcPr>
          <w:p w14:paraId="6CCF020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C8CDC7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gramStart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partial —</w:t>
            </w:r>
            <w:proofErr w:type="gramEnd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 marine fisheries</w:t>
            </w:r>
          </w:p>
        </w:tc>
      </w:tr>
      <w:tr w:rsidR="00553CFB" w:rsidRPr="00553CFB" w14:paraId="4BED3187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2BBC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7CAB47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Water Resources</w:t>
            </w:r>
          </w:p>
        </w:tc>
        <w:tc>
          <w:tcPr>
            <w:tcW w:w="0" w:type="auto"/>
            <w:vAlign w:val="center"/>
            <w:hideMark/>
          </w:tcPr>
          <w:p w14:paraId="63C3B6C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Irrigation, Potable</w:t>
            </w:r>
          </w:p>
        </w:tc>
        <w:tc>
          <w:tcPr>
            <w:tcW w:w="0" w:type="auto"/>
            <w:vAlign w:val="center"/>
            <w:hideMark/>
          </w:tcPr>
          <w:p w14:paraId="6647F76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1EA7DE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gramStart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partial —</w:t>
            </w:r>
            <w:proofErr w:type="gramEnd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no watershed, no industrial water</w:t>
            </w:r>
          </w:p>
        </w:tc>
      </w:tr>
      <w:tr w:rsidR="00553CFB" w:rsidRPr="00553CFB" w14:paraId="7B24049A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F8CF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30534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Coastal &amp; Marine</w:t>
            </w:r>
          </w:p>
        </w:tc>
        <w:tc>
          <w:tcPr>
            <w:tcW w:w="0" w:type="auto"/>
            <w:vAlign w:val="center"/>
            <w:hideMark/>
          </w:tcPr>
          <w:p w14:paraId="0AEB53DE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FD131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D1151F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7274334A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7215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1261AE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0939FFB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13EF7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D675DB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623F4B5B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8AD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3AC50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Human Settlements &amp; Infrastructure</w:t>
            </w:r>
          </w:p>
        </w:tc>
        <w:tc>
          <w:tcPr>
            <w:tcW w:w="0" w:type="auto"/>
            <w:vAlign w:val="center"/>
            <w:hideMark/>
          </w:tcPr>
          <w:p w14:paraId="64A65C10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Human Settlements</w:t>
            </w:r>
          </w:p>
        </w:tc>
        <w:tc>
          <w:tcPr>
            <w:tcW w:w="0" w:type="auto"/>
            <w:vAlign w:val="center"/>
            <w:hideMark/>
          </w:tcPr>
          <w:p w14:paraId="5D26B192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0770D20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partial — no estate or coastal infrastructure</w:t>
            </w:r>
          </w:p>
        </w:tc>
      </w:tr>
      <w:tr w:rsidR="00553CFB" w:rsidRPr="00553CFB" w14:paraId="0EEB8A8F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CDE2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F91930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Ecosystems &amp; Biodiversity</w:t>
            </w:r>
          </w:p>
        </w:tc>
        <w:tc>
          <w:tcPr>
            <w:tcW w:w="0" w:type="auto"/>
            <w:vAlign w:val="center"/>
            <w:hideMark/>
          </w:tcPr>
          <w:p w14:paraId="6A482837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3BC7C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6B280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2530FA2C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46A5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9B618B6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Tourism and Recreation</w:t>
            </w:r>
          </w:p>
        </w:tc>
        <w:tc>
          <w:tcPr>
            <w:tcW w:w="0" w:type="auto"/>
            <w:vAlign w:val="center"/>
            <w:hideMark/>
          </w:tcPr>
          <w:p w14:paraId="79DEBFD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Tourism</w:t>
            </w:r>
          </w:p>
        </w:tc>
        <w:tc>
          <w:tcPr>
            <w:tcW w:w="0" w:type="auto"/>
            <w:vAlign w:val="center"/>
            <w:hideMark/>
          </w:tcPr>
          <w:p w14:paraId="71720D5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F75CC72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covered</w:t>
            </w:r>
          </w:p>
        </w:tc>
      </w:tr>
      <w:tr w:rsidR="00553CFB" w:rsidRPr="00553CFB" w14:paraId="2D0BCE87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2BC5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6E10D7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Export Agriculture</w:t>
            </w:r>
          </w:p>
        </w:tc>
        <w:tc>
          <w:tcPr>
            <w:tcW w:w="0" w:type="auto"/>
            <w:vAlign w:val="center"/>
            <w:hideMark/>
          </w:tcPr>
          <w:p w14:paraId="4388CDA4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Tea, Coconut</w:t>
            </w:r>
          </w:p>
        </w:tc>
        <w:tc>
          <w:tcPr>
            <w:tcW w:w="0" w:type="auto"/>
            <w:vAlign w:val="center"/>
            <w:hideMark/>
          </w:tcPr>
          <w:p w14:paraId="7245D5A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C218582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partial — </w:t>
            </w: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rubber</w:t>
            </w:r>
          </w:p>
        </w:tc>
      </w:tr>
      <w:tr w:rsidR="00553CFB" w:rsidRPr="00553CFB" w14:paraId="43E4A64B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E616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CDBA0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Industry, Energy &amp; Transportation</w:t>
            </w:r>
          </w:p>
        </w:tc>
        <w:tc>
          <w:tcPr>
            <w:tcW w:w="0" w:type="auto"/>
            <w:vAlign w:val="center"/>
            <w:hideMark/>
          </w:tcPr>
          <w:p w14:paraId="6067595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Industry, Transportation</w:t>
            </w:r>
          </w:p>
        </w:tc>
        <w:tc>
          <w:tcPr>
            <w:tcW w:w="0" w:type="auto"/>
            <w:vAlign w:val="center"/>
            <w:hideMark/>
          </w:tcPr>
          <w:p w14:paraId="77DA5509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DFD279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gramStart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partial —</w:t>
            </w:r>
            <w:proofErr w:type="gramEnd"/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energy</w:t>
            </w:r>
          </w:p>
        </w:tc>
      </w:tr>
      <w:tr w:rsidR="00553CFB" w:rsidRPr="00553CFB" w14:paraId="59E7D7DD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6E4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B05EC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Cultural &amp; Heritage Assets</w:t>
            </w:r>
          </w:p>
        </w:tc>
        <w:tc>
          <w:tcPr>
            <w:tcW w:w="0" w:type="auto"/>
            <w:vAlign w:val="center"/>
            <w:hideMark/>
          </w:tcPr>
          <w:p w14:paraId="4F3009B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F0EDF9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E62A0C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0A59EA22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25DC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A2623F6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Disaster Risk Management</w:t>
            </w:r>
          </w:p>
        </w:tc>
        <w:tc>
          <w:tcPr>
            <w:tcW w:w="0" w:type="auto"/>
            <w:vAlign w:val="center"/>
            <w:hideMark/>
          </w:tcPr>
          <w:p w14:paraId="243E99AB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99EDFF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4BFDF0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41D4C8BD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DD4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70350C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Human Mobility &amp; Migration</w:t>
            </w:r>
          </w:p>
        </w:tc>
        <w:tc>
          <w:tcPr>
            <w:tcW w:w="0" w:type="auto"/>
            <w:vAlign w:val="center"/>
            <w:hideMark/>
          </w:tcPr>
          <w:p w14:paraId="7EAFE1C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766A83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E0F2F1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  <w:tr w:rsidR="00553CFB" w:rsidRPr="00553CFB" w14:paraId="2C075832" w14:textId="77777777" w:rsidTr="00553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D58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57E425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Cross-Cutting Governance</w:t>
            </w:r>
          </w:p>
        </w:tc>
        <w:tc>
          <w:tcPr>
            <w:tcW w:w="0" w:type="auto"/>
            <w:vAlign w:val="center"/>
            <w:hideMark/>
          </w:tcPr>
          <w:p w14:paraId="27C4AFD8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9AC4F0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82125D" w14:textId="77777777" w:rsidR="00553CFB" w:rsidRPr="00553CFB" w:rsidRDefault="00553CFB" w:rsidP="00553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53CFB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new</w:t>
            </w:r>
          </w:p>
        </w:tc>
      </w:tr>
    </w:tbl>
    <w:p w14:paraId="30CF4AE9" w14:textId="77777777" w:rsidR="00553CFB" w:rsidRPr="00553CFB" w:rsidRDefault="00553CFB" w:rsidP="0055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53C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Six of thirteen have data. Seven are empty.</w:t>
      </w:r>
    </w:p>
    <w:p w14:paraId="207A27BF" w14:textId="77777777" w:rsidR="00D85FB1" w:rsidRDefault="00D85FB1" w:rsidP="00D85FB1">
      <w:pPr>
        <w:pStyle w:val="Heading3"/>
        <w:spacing w:before="240"/>
      </w:pPr>
      <w:r>
        <w:t>C2 — Should NAP entries that are not assessable at DS level be registered as sectors?</w:t>
      </w:r>
    </w:p>
    <w:p w14:paraId="27CF03E2" w14:textId="77777777" w:rsidR="00181FBD" w:rsidRDefault="00D85FB1" w:rsidP="00181FBD">
      <w:pPr>
        <w:spacing w:after="120" w:line="276" w:lineRule="auto"/>
      </w:pPr>
      <w:r>
        <w:t xml:space="preserve">Q: </w:t>
      </w:r>
      <w:r w:rsidR="00181FBD">
        <w:t>Four of the thirteen NAP entries — Disaster Risk Management, Human Mobility &amp; Migration, Cross-Cutting Governance, and arguably Cultural &amp; Heritage Assets — describe response capacity or institutional arrangements rather than something with exposure indicators at DS-division level. Should they be carried as sectors?</w:t>
      </w:r>
    </w:p>
    <w:p w14:paraId="4C253D5D" w14:textId="0922DD89" w:rsidR="00553CFB" w:rsidRDefault="00181FBD" w:rsidP="00DD4764">
      <w:pPr>
        <w:rPr>
          <w:sz w:val="19"/>
          <w:szCs w:val="19"/>
        </w:rPr>
      </w:pPr>
      <w:r>
        <w:t xml:space="preserve">A: </w:t>
      </w:r>
      <w:r w:rsidR="00360B27">
        <w:rPr>
          <w:sz w:val="19"/>
          <w:szCs w:val="19"/>
        </w:rPr>
        <w:t>All four appear in the taxonomy and are permanently reported as unassessed.</w:t>
      </w:r>
    </w:p>
    <w:p w14:paraId="2E046673" w14:textId="77777777" w:rsidR="00360B27" w:rsidRDefault="00360B27" w:rsidP="00DD4764">
      <w:pPr>
        <w:rPr>
          <w:sz w:val="19"/>
          <w:szCs w:val="19"/>
        </w:rPr>
      </w:pPr>
    </w:p>
    <w:p w14:paraId="71E7567E" w14:textId="77777777" w:rsidR="007F7918" w:rsidRDefault="007F7918" w:rsidP="007F7918">
      <w:pPr>
        <w:pStyle w:val="Heading3"/>
        <w:spacing w:before="240"/>
      </w:pPr>
      <w:r>
        <w:t>C3 — Are the gaps inside mapped sectors omissions or out of scope?</w:t>
      </w:r>
    </w:p>
    <w:p w14:paraId="3A0142BE" w14:textId="77777777" w:rsidR="00F32E26" w:rsidRDefault="007F7918" w:rsidP="00F32E26">
      <w:pPr>
        <w:spacing w:after="120" w:line="276" w:lineRule="auto"/>
      </w:pPr>
      <w:r>
        <w:t>Q:</w:t>
      </w:r>
      <w:r w:rsidR="00F32E26">
        <w:t xml:space="preserve"> </w:t>
      </w:r>
      <w:r w:rsidR="00F32E26">
        <w:t>Even within the six NAP sectors that have data, parts are not covered. Are these genuine collection gaps to be filled, or deliberate scope boundaries to be stated?</w:t>
      </w:r>
    </w:p>
    <w:p w14:paraId="671D5421" w14:textId="25D5461B" w:rsidR="00360B27" w:rsidRDefault="00F32E26" w:rsidP="00DD4764">
      <w:pPr>
        <w:rPr>
          <w:sz w:val="19"/>
          <w:szCs w:val="19"/>
        </w:rPr>
      </w:pPr>
      <w:r>
        <w:t xml:space="preserve">A: </w:t>
      </w:r>
      <w:r w:rsidR="006863FB">
        <w:rPr>
          <w:sz w:val="19"/>
          <w:szCs w:val="19"/>
        </w:rPr>
        <w:t>Each gap becomes a collection target, with variables and workbooks added.</w:t>
      </w:r>
    </w:p>
    <w:p w14:paraId="073DAF04" w14:textId="77777777" w:rsidR="006863FB" w:rsidRDefault="006863FB" w:rsidP="00DD4764">
      <w:pPr>
        <w:rPr>
          <w:sz w:val="19"/>
          <w:szCs w:val="19"/>
        </w:rPr>
      </w:pPr>
    </w:p>
    <w:p w14:paraId="6F575857" w14:textId="77777777" w:rsidR="00B6611D" w:rsidRDefault="00B6611D" w:rsidP="00B6611D">
      <w:pPr>
        <w:pStyle w:val="Heading3"/>
        <w:spacing w:before="240"/>
      </w:pPr>
      <w:r>
        <w:t>C4 — Which hazards should the platform carry beyond flood, drought and landslide?</w:t>
      </w:r>
    </w:p>
    <w:p w14:paraId="5B56EBBC" w14:textId="77777777" w:rsidR="00F852E6" w:rsidRDefault="00D30169" w:rsidP="00F852E6">
      <w:pPr>
        <w:spacing w:after="120" w:line="276" w:lineRule="auto"/>
      </w:pPr>
      <w:r>
        <w:t xml:space="preserve">Q: </w:t>
      </w:r>
      <w:r w:rsidR="00F852E6">
        <w:t xml:space="preserve">Three hazards are seeded and assessed. The deployed system's taxonomy carries seventeen, including sea level rise, </w:t>
      </w:r>
      <w:proofErr w:type="gramStart"/>
      <w:r w:rsidR="00F852E6">
        <w:t>salt water</w:t>
      </w:r>
      <w:proofErr w:type="gramEnd"/>
      <w:r w:rsidR="00F852E6">
        <w:t xml:space="preserve"> intrusion and coastal erosion. The project owner has directed that the hazard list should be taken from the NAP. Which hazards does </w:t>
      </w:r>
      <w:r w:rsidR="00F852E6">
        <w:lastRenderedPageBreak/>
        <w:t>the NAP name, and which of them should carry profiles as opposed to being registered only?</w:t>
      </w:r>
    </w:p>
    <w:p w14:paraId="31F18A84" w14:textId="7BB25FAE" w:rsidR="006863FB" w:rsidRDefault="00F852E6" w:rsidP="00DD4764">
      <w:pPr>
        <w:rPr>
          <w:sz w:val="19"/>
          <w:szCs w:val="19"/>
        </w:rPr>
      </w:pPr>
      <w:r>
        <w:t xml:space="preserve">A: </w:t>
      </w:r>
      <w:r w:rsidR="0073490A">
        <w:rPr>
          <w:sz w:val="19"/>
          <w:szCs w:val="19"/>
        </w:rPr>
        <w:t>The NAP hazards are added to the taxonomy; no profiles, variables or workbooks are created for them.</w:t>
      </w:r>
    </w:p>
    <w:p w14:paraId="42EDCD35" w14:textId="77777777" w:rsidR="0073490A" w:rsidRDefault="0073490A" w:rsidP="00DD4764">
      <w:pPr>
        <w:rPr>
          <w:sz w:val="19"/>
          <w:szCs w:val="19"/>
        </w:rPr>
      </w:pPr>
    </w:p>
    <w:p w14:paraId="475A6916" w14:textId="77777777" w:rsidR="00F41DA5" w:rsidRDefault="00F41DA5" w:rsidP="00F41DA5">
      <w:pPr>
        <w:pStyle w:val="Heading1"/>
      </w:pPr>
      <w:r>
        <w:t>Part D — Derived indicators and the spatial toolbox</w:t>
      </w:r>
    </w:p>
    <w:p w14:paraId="37D745F1" w14:textId="77777777" w:rsidR="004D4D2C" w:rsidRDefault="004D4D2C" w:rsidP="004D4D2C">
      <w:pPr>
        <w:pStyle w:val="Heading3"/>
        <w:spacing w:before="240"/>
      </w:pPr>
      <w:r>
        <w:t>D1 — Where should hazard-extent geometry come from?</w:t>
      </w:r>
    </w:p>
    <w:p w14:paraId="14C5ED26" w14:textId="77777777" w:rsidR="002A7773" w:rsidRDefault="004D4D2C" w:rsidP="002A7773">
      <w:pPr>
        <w:spacing w:after="120" w:line="276" w:lineRule="auto"/>
      </w:pPr>
      <w:r>
        <w:t>Q:</w:t>
      </w:r>
      <w:r w:rsidR="002A7773">
        <w:t xml:space="preserve"> </w:t>
      </w:r>
      <w:r w:rsidR="002A7773">
        <w:t>Fourteen variables in the catalogue describe the intersection of an asset with a hazard zone — flood-affected road length, buildings in landslide-prone areas, flood-affected schools. Computing them requires two layers to be intersected before clipping to a division. Where should the hazard extent come from?</w:t>
      </w:r>
    </w:p>
    <w:p w14:paraId="1745249A" w14:textId="6E26488A" w:rsidR="0073490A" w:rsidRDefault="002A7773" w:rsidP="00DD4764">
      <w:pPr>
        <w:rPr>
          <w:sz w:val="19"/>
          <w:szCs w:val="19"/>
        </w:rPr>
      </w:pPr>
      <w:r>
        <w:t xml:space="preserve">A: </w:t>
      </w:r>
      <w:r w:rsidR="00BD6600">
        <w:rPr>
          <w:sz w:val="19"/>
          <w:szCs w:val="19"/>
        </w:rPr>
        <w:t>Flood, landslide and drought extents are supplied as spatial layers, and a two-layer operation is added to the toolbox</w:t>
      </w:r>
    </w:p>
    <w:p w14:paraId="30591441" w14:textId="77777777" w:rsidR="00D40921" w:rsidRDefault="00D40921" w:rsidP="00DD4764">
      <w:pPr>
        <w:rPr>
          <w:sz w:val="19"/>
          <w:szCs w:val="19"/>
        </w:rPr>
      </w:pPr>
    </w:p>
    <w:p w14:paraId="3CAF8E0F" w14:textId="77777777" w:rsidR="00FA0F70" w:rsidRDefault="00FA0F70" w:rsidP="00FA0F70">
      <w:pPr>
        <w:pStyle w:val="Heading3"/>
        <w:spacing w:before="240"/>
      </w:pPr>
      <w:r>
        <w:t>D2 — Is an empty intersection a zero or an unknown?</w:t>
      </w:r>
    </w:p>
    <w:p w14:paraId="29C47BE0" w14:textId="77777777" w:rsidR="00D333D8" w:rsidRDefault="00D333D8" w:rsidP="00D333D8">
      <w:pPr>
        <w:spacing w:after="120" w:line="276" w:lineRule="auto"/>
      </w:pPr>
      <w:r>
        <w:t xml:space="preserve">Q: </w:t>
      </w:r>
      <w:r>
        <w:t>When the toolbox finds no features of a layer within a division, it returns zero. A division that genuinely contains no forest and a division lying outside the layer's coverage both produce the same result. How should the two be distinguished?</w:t>
      </w:r>
    </w:p>
    <w:p w14:paraId="6F752536" w14:textId="3039ED84" w:rsidR="00D40921" w:rsidRDefault="00D333D8" w:rsidP="00DD4764">
      <w:pPr>
        <w:rPr>
          <w:sz w:val="19"/>
          <w:szCs w:val="19"/>
        </w:rPr>
      </w:pPr>
      <w:r>
        <w:t xml:space="preserve">A: </w:t>
      </w:r>
      <w:r w:rsidR="009B0E29">
        <w:rPr>
          <w:sz w:val="19"/>
          <w:szCs w:val="19"/>
        </w:rPr>
        <w:t>Each layer states the area it covers. A division inside that area with no features scores zero; a division outside it is unassessed.</w:t>
      </w:r>
    </w:p>
    <w:p w14:paraId="795935B1" w14:textId="77777777" w:rsidR="0061761B" w:rsidRDefault="0061761B" w:rsidP="0061761B">
      <w:pPr>
        <w:pStyle w:val="Heading3"/>
        <w:spacing w:before="240"/>
      </w:pPr>
      <w:r>
        <w:t>D3 — Should distance be measured from the division centroid or its boundary?</w:t>
      </w:r>
    </w:p>
    <w:p w14:paraId="1BEF1890" w14:textId="77777777" w:rsidR="008150B2" w:rsidRDefault="00C17574" w:rsidP="008150B2">
      <w:pPr>
        <w:spacing w:after="120" w:line="276" w:lineRule="auto"/>
      </w:pPr>
      <w:r>
        <w:t xml:space="preserve">Q: </w:t>
      </w:r>
      <w:r w:rsidR="008150B2">
        <w:t>The distance operation measures from the centroid of a DS division to the nearest feature. Divisions vary greatly in size. Is the centroid the right reference point for an exposure measure?</w:t>
      </w:r>
    </w:p>
    <w:p w14:paraId="4382508E" w14:textId="3E8E0DE0" w:rsidR="0061761B" w:rsidRDefault="0061761B" w:rsidP="00DD4764"/>
    <w:p w14:paraId="26A12FAA" w14:textId="03F2A413" w:rsidR="00B63FE1" w:rsidRDefault="00B63FE1" w:rsidP="00DD4764">
      <w:pPr>
        <w:rPr>
          <w:sz w:val="19"/>
          <w:szCs w:val="19"/>
        </w:rPr>
      </w:pPr>
      <w:r>
        <w:t xml:space="preserve">A: </w:t>
      </w:r>
      <w:r>
        <w:rPr>
          <w:sz w:val="19"/>
          <w:szCs w:val="19"/>
        </w:rPr>
        <w:t>Current behaviour retained</w:t>
      </w:r>
    </w:p>
    <w:p w14:paraId="7F309D07" w14:textId="77777777" w:rsidR="00CA6D53" w:rsidRDefault="00CA6D53" w:rsidP="00DD4764">
      <w:pPr>
        <w:rPr>
          <w:sz w:val="19"/>
          <w:szCs w:val="19"/>
        </w:rPr>
      </w:pPr>
    </w:p>
    <w:p w14:paraId="7E72B38E" w14:textId="77777777" w:rsidR="00CA6D53" w:rsidRDefault="00CA6D53" w:rsidP="00CA6D53">
      <w:pPr>
        <w:pStyle w:val="Heading1"/>
      </w:pPr>
      <w:r>
        <w:lastRenderedPageBreak/>
        <w:t>Part E — The risk layer</w:t>
      </w:r>
    </w:p>
    <w:p w14:paraId="3B864647" w14:textId="77777777" w:rsidR="00FE17E0" w:rsidRDefault="00FE17E0" w:rsidP="00FE17E0">
      <w:pPr>
        <w:pStyle w:val="Heading3"/>
        <w:spacing w:before="240"/>
      </w:pPr>
      <w:r>
        <w:t>E1 — Which combination form should be the published risk index?</w:t>
      </w:r>
    </w:p>
    <w:p w14:paraId="0466A465" w14:textId="06C8ACA9" w:rsidR="008B7713" w:rsidRDefault="00FE17E0" w:rsidP="008B7713">
      <w:pPr>
        <w:spacing w:after="120" w:line="276" w:lineRule="auto"/>
      </w:pPr>
      <w:r>
        <w:t xml:space="preserve">Q: </w:t>
      </w:r>
      <w:r w:rsidR="008B7713">
        <w:t>fixes the risk index as the geometric mean of hazard, asset exposure and vulnerability</w:t>
      </w:r>
      <w:r w:rsidR="008B7713">
        <w:t xml:space="preserve"> </w:t>
      </w:r>
      <w:proofErr w:type="spellStart"/>
      <w:proofErr w:type="gramStart"/>
      <w:r w:rsidR="008B7713">
        <w:t>ot</w:t>
      </w:r>
      <w:proofErr w:type="spellEnd"/>
      <w:r w:rsidR="008B7713">
        <w:t xml:space="preserve"> </w:t>
      </w:r>
      <w:r w:rsidR="008B7713">
        <w:t xml:space="preserve"> additionally</w:t>
      </w:r>
      <w:proofErr w:type="gramEnd"/>
      <w:r w:rsidR="008B7713">
        <w:t xml:space="preserve"> requires the system to support weighted-overlay and AHP-derived combinations as alternatives. Which should be the published default?</w:t>
      </w:r>
    </w:p>
    <w:p w14:paraId="4F02FC16" w14:textId="77777777" w:rsidR="00B5568F" w:rsidRDefault="00B5568F" w:rsidP="008B7713">
      <w:pPr>
        <w:spacing w:after="120" w:line="276" w:lineRule="auto"/>
      </w:pPr>
    </w:p>
    <w:p w14:paraId="1798824B" w14:textId="39496380" w:rsidR="00B5568F" w:rsidRDefault="00B5568F" w:rsidP="008B7713">
      <w:pPr>
        <w:spacing w:after="120" w:line="276" w:lineRule="auto"/>
      </w:pPr>
      <w:r>
        <w:t xml:space="preserve">A: </w:t>
      </w:r>
      <w:r w:rsidR="00512F29">
        <w:rPr>
          <w:sz w:val="19"/>
          <w:szCs w:val="19"/>
        </w:rPr>
        <w:t>The published index is the cube root of the product</w:t>
      </w:r>
    </w:p>
    <w:p w14:paraId="2332A2EE" w14:textId="77777777" w:rsidR="00800E25" w:rsidRDefault="00800E25" w:rsidP="00800E25">
      <w:pPr>
        <w:pStyle w:val="Heading3"/>
        <w:spacing w:before="240"/>
      </w:pPr>
      <w:r>
        <w:t>E2 — What is the authoritative source for asset exposure, and in what units?</w:t>
      </w:r>
    </w:p>
    <w:p w14:paraId="2021B46C" w14:textId="77777777" w:rsidR="0017022E" w:rsidRDefault="0017022E" w:rsidP="0017022E">
      <w:pPr>
        <w:spacing w:after="120" w:line="276" w:lineRule="auto"/>
      </w:pPr>
      <w:r>
        <w:t xml:space="preserve">Q: </w:t>
      </w:r>
      <w:r>
        <w:t>The risk index requires an asset-exposure term derived from population, buildings, roads and facilities within the hazard extent, reported in native units. What should the authoritative source for each be?</w:t>
      </w:r>
    </w:p>
    <w:p w14:paraId="6A4544F1" w14:textId="7FA4674F" w:rsidR="00CA6D53" w:rsidRDefault="005C11B9" w:rsidP="00DD4764">
      <w:pPr>
        <w:rPr>
          <w:sz w:val="19"/>
          <w:szCs w:val="19"/>
        </w:rPr>
      </w:pPr>
      <w:r>
        <w:t xml:space="preserve">A: </w:t>
      </w:r>
      <w:r w:rsidR="00B11BEE">
        <w:rPr>
          <w:sz w:val="19"/>
          <w:szCs w:val="19"/>
        </w:rPr>
        <w:t>Population, facilities, roads and buildings are all loaded as geometry with the required attributes.</w:t>
      </w:r>
    </w:p>
    <w:p w14:paraId="547F06BD" w14:textId="77777777" w:rsidR="00E90524" w:rsidRDefault="00E90524" w:rsidP="00E90524">
      <w:pPr>
        <w:pStyle w:val="Heading3"/>
        <w:spacing w:before="240"/>
      </w:pPr>
      <w:r>
        <w:t>E3 — Where should the five band thresholds fall?</w:t>
      </w:r>
    </w:p>
    <w:p w14:paraId="49F085A4" w14:textId="77777777" w:rsidR="00B55865" w:rsidRDefault="00E90524" w:rsidP="00B55865">
      <w:pPr>
        <w:spacing w:after="120" w:line="276" w:lineRule="auto"/>
      </w:pPr>
      <w:r>
        <w:t xml:space="preserve">Q: </w:t>
      </w:r>
      <w:r w:rsidR="00B55865">
        <w:t xml:space="preserve">The system classifies risk into five bands with configurable </w:t>
      </w:r>
      <w:proofErr w:type="gramStart"/>
      <w:r w:rsidR="00B55865">
        <w:t>thresholds, and</w:t>
      </w:r>
      <w:proofErr w:type="gramEnd"/>
      <w:r w:rsidR="00B55865">
        <w:t xml:space="preserve"> applies the same banding to vulnerability. What should the four cut points be?</w:t>
      </w:r>
    </w:p>
    <w:p w14:paraId="43499059" w14:textId="79EA57D0" w:rsidR="005976F2" w:rsidRDefault="005976F2" w:rsidP="005976F2">
      <w:pPr>
        <w:spacing w:before="40" w:after="40" w:line="260" w:lineRule="auto"/>
      </w:pPr>
      <w:r>
        <w:t xml:space="preserve">A: </w:t>
      </w:r>
      <w:r>
        <w:rPr>
          <w:sz w:val="19"/>
          <w:szCs w:val="19"/>
        </w:rPr>
        <w:t>Cut points at 0.2, 0.4, 0.6 and 0.8.</w:t>
      </w:r>
    </w:p>
    <w:p w14:paraId="65900183" w14:textId="67F1A58A" w:rsidR="00B11BEE" w:rsidRDefault="00B11BEE" w:rsidP="00DD4764"/>
    <w:p w14:paraId="721D47C0" w14:textId="77777777" w:rsidR="003E550E" w:rsidRDefault="003E550E" w:rsidP="00DD4764"/>
    <w:p w14:paraId="38B2C3BC" w14:textId="77777777" w:rsidR="003E550E" w:rsidRDefault="003E550E" w:rsidP="003E550E">
      <w:pPr>
        <w:pStyle w:val="Heading1"/>
      </w:pPr>
      <w:r>
        <w:t>Part F — The community track</w:t>
      </w:r>
    </w:p>
    <w:p w14:paraId="269198B5" w14:textId="77777777" w:rsidR="00D61065" w:rsidRDefault="00D61065" w:rsidP="00D61065">
      <w:pPr>
        <w:pStyle w:val="Heading3"/>
        <w:spacing w:before="240"/>
      </w:pPr>
      <w:r>
        <w:t>F1 — Are n ≥ 10 and n &lt; 30 the right thresholds?</w:t>
      </w:r>
    </w:p>
    <w:p w14:paraId="59CD6BF0" w14:textId="5EA5C7FF" w:rsidR="003E550E" w:rsidRDefault="00C9009B" w:rsidP="00DD4764">
      <w:r>
        <w:t xml:space="preserve">Q: </w:t>
      </w:r>
      <w:r w:rsidR="00C510D1">
        <w:t xml:space="preserve">A community average is published only where at least ten ratings </w:t>
      </w:r>
      <w:proofErr w:type="gramStart"/>
      <w:r w:rsidR="00C510D1">
        <w:t>exist, and</w:t>
      </w:r>
      <w:proofErr w:type="gramEnd"/>
      <w:r w:rsidR="00C510D1">
        <w:t xml:space="preserve"> carries a low-confidence marker where there are fewer than thirty. Are those the right numbers</w:t>
      </w:r>
    </w:p>
    <w:p w14:paraId="048A7A2E" w14:textId="77777777" w:rsidR="00C510D1" w:rsidRDefault="00C510D1" w:rsidP="00DD4764"/>
    <w:p w14:paraId="2AAB1AD6" w14:textId="25DABA09" w:rsidR="00C510D1" w:rsidRDefault="00C510D1" w:rsidP="00DD4764">
      <w:pPr>
        <w:rPr>
          <w:sz w:val="19"/>
          <w:szCs w:val="19"/>
        </w:rPr>
      </w:pPr>
      <w:r>
        <w:t>A:</w:t>
      </w:r>
      <w:r w:rsidR="005E3799">
        <w:t xml:space="preserve"> </w:t>
      </w:r>
      <w:r w:rsidR="005E3799">
        <w:rPr>
          <w:sz w:val="19"/>
          <w:szCs w:val="19"/>
        </w:rPr>
        <w:t>Thresholds of 10 and 30 stand.</w:t>
      </w:r>
    </w:p>
    <w:p w14:paraId="65832BAB" w14:textId="77777777" w:rsidR="005E3799" w:rsidRDefault="005E3799" w:rsidP="00DD4764">
      <w:pPr>
        <w:rPr>
          <w:sz w:val="19"/>
          <w:szCs w:val="19"/>
        </w:rPr>
      </w:pPr>
    </w:p>
    <w:p w14:paraId="1E6C7640" w14:textId="77777777" w:rsidR="002C554A" w:rsidRDefault="002C554A" w:rsidP="002C554A">
      <w:pPr>
        <w:pStyle w:val="Heading3"/>
        <w:spacing w:before="240"/>
      </w:pPr>
      <w:r>
        <w:lastRenderedPageBreak/>
        <w:t>F2 — What should count as one community rating?</w:t>
      </w:r>
    </w:p>
    <w:p w14:paraId="3071350C" w14:textId="77777777" w:rsidR="008E2DE0" w:rsidRDefault="002C554A" w:rsidP="008E2DE0">
      <w:pPr>
        <w:spacing w:after="120" w:line="276" w:lineRule="auto"/>
      </w:pPr>
      <w:r>
        <w:t xml:space="preserve">Q: </w:t>
      </w:r>
      <w:r w:rsidR="008E2DE0">
        <w:t>A contributor may submit one rating per division per sector × hazard × period, replaceable but not additive. Is that the right unit, and should any further conditions apply?</w:t>
      </w:r>
    </w:p>
    <w:p w14:paraId="4F365785" w14:textId="6833B3C5" w:rsidR="005E3799" w:rsidRDefault="008E2DE0" w:rsidP="00DD4764">
      <w:pPr>
        <w:rPr>
          <w:sz w:val="19"/>
          <w:szCs w:val="19"/>
        </w:rPr>
      </w:pPr>
      <w:r>
        <w:t xml:space="preserve">A: </w:t>
      </w:r>
      <w:r w:rsidR="00DB600F">
        <w:rPr>
          <w:sz w:val="19"/>
          <w:szCs w:val="19"/>
        </w:rPr>
        <w:t>The key stands as specified.</w:t>
      </w:r>
    </w:p>
    <w:p w14:paraId="78D6A2C2" w14:textId="77777777" w:rsidR="00DB600F" w:rsidRPr="00BF0930" w:rsidRDefault="00DB600F" w:rsidP="00DD4764"/>
    <w:sectPr w:rsidR="00DB600F" w:rsidRPr="00BF0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55"/>
    <w:multiLevelType w:val="hybridMultilevel"/>
    <w:tmpl w:val="19843BAC"/>
    <w:lvl w:ilvl="0" w:tplc="D856FD78">
      <w:start w:val="1"/>
      <w:numFmt w:val="bullet"/>
      <w:lvlText w:val="●"/>
      <w:lvlJc w:val="left"/>
      <w:pPr>
        <w:ind w:left="720" w:hanging="360"/>
      </w:pPr>
    </w:lvl>
    <w:lvl w:ilvl="1" w:tplc="8C40F5EE">
      <w:start w:val="1"/>
      <w:numFmt w:val="bullet"/>
      <w:lvlText w:val="○"/>
      <w:lvlJc w:val="left"/>
      <w:pPr>
        <w:ind w:left="1440" w:hanging="360"/>
      </w:pPr>
    </w:lvl>
    <w:lvl w:ilvl="2" w:tplc="6B88C74A">
      <w:start w:val="1"/>
      <w:numFmt w:val="bullet"/>
      <w:lvlText w:val="■"/>
      <w:lvlJc w:val="left"/>
      <w:pPr>
        <w:ind w:left="2160" w:hanging="360"/>
      </w:pPr>
    </w:lvl>
    <w:lvl w:ilvl="3" w:tplc="EBDAAE5A">
      <w:start w:val="1"/>
      <w:numFmt w:val="bullet"/>
      <w:lvlText w:val="●"/>
      <w:lvlJc w:val="left"/>
      <w:pPr>
        <w:ind w:left="2880" w:hanging="360"/>
      </w:pPr>
    </w:lvl>
    <w:lvl w:ilvl="4" w:tplc="1EAE59E2">
      <w:start w:val="1"/>
      <w:numFmt w:val="bullet"/>
      <w:lvlText w:val="○"/>
      <w:lvlJc w:val="left"/>
      <w:pPr>
        <w:ind w:left="3600" w:hanging="360"/>
      </w:pPr>
    </w:lvl>
    <w:lvl w:ilvl="5" w:tplc="C67281C4">
      <w:start w:val="1"/>
      <w:numFmt w:val="bullet"/>
      <w:lvlText w:val="■"/>
      <w:lvlJc w:val="left"/>
      <w:pPr>
        <w:ind w:left="4320" w:hanging="360"/>
      </w:pPr>
    </w:lvl>
    <w:lvl w:ilvl="6" w:tplc="AA90FCFE">
      <w:start w:val="1"/>
      <w:numFmt w:val="bullet"/>
      <w:lvlText w:val="●"/>
      <w:lvlJc w:val="left"/>
      <w:pPr>
        <w:ind w:left="5040" w:hanging="360"/>
      </w:pPr>
    </w:lvl>
    <w:lvl w:ilvl="7" w:tplc="40B2427E">
      <w:start w:val="1"/>
      <w:numFmt w:val="bullet"/>
      <w:lvlText w:val="●"/>
      <w:lvlJc w:val="left"/>
      <w:pPr>
        <w:ind w:left="5760" w:hanging="360"/>
      </w:pPr>
    </w:lvl>
    <w:lvl w:ilvl="8" w:tplc="67C2F9AE">
      <w:start w:val="1"/>
      <w:numFmt w:val="bullet"/>
      <w:lvlText w:val="●"/>
      <w:lvlJc w:val="left"/>
      <w:pPr>
        <w:ind w:left="6480" w:hanging="360"/>
      </w:pPr>
    </w:lvl>
  </w:abstractNum>
  <w:num w:numId="1" w16cid:durableId="645353161">
    <w:abstractNumId w:val="0"/>
  </w:num>
  <w:num w:numId="2" w16cid:durableId="46014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3F"/>
    <w:rsid w:val="000E7BB3"/>
    <w:rsid w:val="001454B5"/>
    <w:rsid w:val="0017022E"/>
    <w:rsid w:val="00181FBD"/>
    <w:rsid w:val="00277C71"/>
    <w:rsid w:val="002A7773"/>
    <w:rsid w:val="002C554A"/>
    <w:rsid w:val="00360B27"/>
    <w:rsid w:val="003638B7"/>
    <w:rsid w:val="003E4F16"/>
    <w:rsid w:val="003E550E"/>
    <w:rsid w:val="004171BB"/>
    <w:rsid w:val="00457651"/>
    <w:rsid w:val="0047443E"/>
    <w:rsid w:val="004D4D2C"/>
    <w:rsid w:val="004E73BA"/>
    <w:rsid w:val="00512F29"/>
    <w:rsid w:val="00551086"/>
    <w:rsid w:val="00553CFB"/>
    <w:rsid w:val="0057703F"/>
    <w:rsid w:val="005976F2"/>
    <w:rsid w:val="005C11B9"/>
    <w:rsid w:val="005E3799"/>
    <w:rsid w:val="0061761B"/>
    <w:rsid w:val="00637B53"/>
    <w:rsid w:val="00644198"/>
    <w:rsid w:val="00653760"/>
    <w:rsid w:val="006775CD"/>
    <w:rsid w:val="006863FB"/>
    <w:rsid w:val="006A70C8"/>
    <w:rsid w:val="006D21A7"/>
    <w:rsid w:val="006F3C28"/>
    <w:rsid w:val="00726ED8"/>
    <w:rsid w:val="0073490A"/>
    <w:rsid w:val="00761E1A"/>
    <w:rsid w:val="007F7918"/>
    <w:rsid w:val="00800E25"/>
    <w:rsid w:val="00806BDB"/>
    <w:rsid w:val="008150B2"/>
    <w:rsid w:val="008A11F1"/>
    <w:rsid w:val="008B7713"/>
    <w:rsid w:val="008C4D46"/>
    <w:rsid w:val="008E2DE0"/>
    <w:rsid w:val="009205A5"/>
    <w:rsid w:val="009665CC"/>
    <w:rsid w:val="009B0E29"/>
    <w:rsid w:val="009C75FD"/>
    <w:rsid w:val="009E4D31"/>
    <w:rsid w:val="00A22D1F"/>
    <w:rsid w:val="00A41BBE"/>
    <w:rsid w:val="00A94738"/>
    <w:rsid w:val="00B11BEE"/>
    <w:rsid w:val="00B5568F"/>
    <w:rsid w:val="00B55865"/>
    <w:rsid w:val="00B63FE1"/>
    <w:rsid w:val="00B6611D"/>
    <w:rsid w:val="00BA0726"/>
    <w:rsid w:val="00BA11F7"/>
    <w:rsid w:val="00BD6600"/>
    <w:rsid w:val="00BF0930"/>
    <w:rsid w:val="00C17574"/>
    <w:rsid w:val="00C31063"/>
    <w:rsid w:val="00C510D1"/>
    <w:rsid w:val="00C71461"/>
    <w:rsid w:val="00C9009B"/>
    <w:rsid w:val="00CA6D53"/>
    <w:rsid w:val="00CB0818"/>
    <w:rsid w:val="00D30169"/>
    <w:rsid w:val="00D333D8"/>
    <w:rsid w:val="00D40921"/>
    <w:rsid w:val="00D61065"/>
    <w:rsid w:val="00D85FB1"/>
    <w:rsid w:val="00DA1608"/>
    <w:rsid w:val="00DB600F"/>
    <w:rsid w:val="00DD4764"/>
    <w:rsid w:val="00DE1BC2"/>
    <w:rsid w:val="00DE2DFE"/>
    <w:rsid w:val="00E2294B"/>
    <w:rsid w:val="00E32297"/>
    <w:rsid w:val="00E90524"/>
    <w:rsid w:val="00E95B1D"/>
    <w:rsid w:val="00EB7401"/>
    <w:rsid w:val="00F01B39"/>
    <w:rsid w:val="00F32E26"/>
    <w:rsid w:val="00F41DA5"/>
    <w:rsid w:val="00F724B0"/>
    <w:rsid w:val="00F852E6"/>
    <w:rsid w:val="00FA0F70"/>
    <w:rsid w:val="00FE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8956"/>
  <w15:chartTrackingRefBased/>
  <w15:docId w15:val="{C6CDA284-C5FE-4FA4-8922-BD5512E4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770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7703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3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3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3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3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3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3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7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3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3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7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3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57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3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77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Piyasena</dc:creator>
  <cp:keywords/>
  <dc:description/>
  <cp:lastModifiedBy>Milinda Piyasena</cp:lastModifiedBy>
  <cp:revision>86</cp:revision>
  <dcterms:created xsi:type="dcterms:W3CDTF">2026-08-01T04:25:00Z</dcterms:created>
  <dcterms:modified xsi:type="dcterms:W3CDTF">2026-08-01T05:03:00Z</dcterms:modified>
</cp:coreProperties>
</file>