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3F35"/>
          <w:sz w:val="56"/>
          <w:szCs w:val="56"/>
        </w:rPr>
        <w:t xml:space="preserve">Risk Radar</w:t>
      </w:r>
    </w:p>
    <w:p>
      <w:pPr>
        <w:spacing w:after="200"/>
      </w:pPr>
      <w:r>
        <w:rPr>
          <w:color w:val="5A6663"/>
          <w:sz w:val="30"/>
          <w:szCs w:val="30"/>
        </w:rPr>
        <w:t xml:space="preserve">Resolution of the expert-panel review</w:t>
      </w:r>
    </w:p>
    <w:p>
      <w:pPr>
        <w:pBdr>
          <w:bottom w:val="single" w:color="1C3F35" w:sz="8"/>
        </w:pBdr>
        <w:spacing w:after="200"/>
      </w:pPr>
      <w:r>
        <w:t xml:space="preserve"/>
      </w:r>
    </w:p>
    <w:p>
      <w:pPr>
        <w:spacing w:after="120" w:line="276"/>
      </w:pPr>
      <w:r>
        <w:rPr>
          <w:color w:val="5A6663"/>
          <w:sz w:val="20"/>
          <w:szCs w:val="20"/>
        </w:rPr>
        <w:t xml:space="preserve">Decisions taken, revisions proposed, and the questions that need a second round</w:t>
      </w:r>
    </w:p>
    <w:p>
      <w:pPr>
        <w:spacing w:after="120" w:line="276"/>
      </w:pPr>
      <w:r>
        <w:rPr>
          <w:color w:val="5A6663"/>
          <w:sz w:val="20"/>
          <w:szCs w:val="20"/>
        </w:rPr>
        <w:t xml:space="preserve">Version 1.0  ·  6 August 2026  ·  Follows the panel response of 5 August 2026</w:t>
      </w:r>
    </w:p>
    <w:p>
      <w:pPr>
        <w:spacing w:after="300" w:line="276"/>
      </w:pPr>
      <w:r>
        <w:rPr>
          <w:color w:val="5A6663"/>
          <w:sz w:val="20"/>
          <w:szCs w:val="20"/>
        </w:rPr>
        <w:t xml:space="preserve">Owner NMPM Piyasena  ·  Companion to SRS v1.3 and to the 21-question panel paper</w:t>
      </w:r>
    </w:p>
    <w:p>
      <w:pPr>
        <w:pStyle w:val="Heading1"/>
      </w:pPr>
      <w:r>
        <w:t xml:space="preserve">Where the twenty-one questions stand</w:t>
      </w:r>
    </w:p>
    <w:p>
      <w:pPr>
        <w:spacing w:after="120" w:line="276"/>
      </w:pPr>
      <w:r>
        <w:t xml:space="preserve">The panel answered all twenty-one. Ten are settled and can go straight into the specification. Two answers collide with something else the panel decided and are proposed here for revision, and two more are accepted in intent but need a different mechanism. The remaining nine — one of them A4, the weighting question — carry contradictions or gaps that need a short second round.</w:t>
      </w:r>
    </w:p>
    <w:p>
      <w:pPr>
        <w:spacing w:after="120" w:line="276"/>
      </w:pPr>
      <w:r>
        <w:t xml:space="preserve">One further question is added that was not in the original paper, because analysing the panel response surfaced it. It is the highest-leverage item in this document.</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1550"/>
        <w:gridCol w:w="5100"/>
        <w:gridCol w:w="2370"/>
      </w:tblGrid>
      <w:tr>
        <w:trPr>
          <w:tblHeader/>
        </w:trPr>
        <w:tc>
          <w:tcPr>
            <w:tcW w:type="dxa" w:w="1550"/>
            <w:shd w:fill="1C3F35" w:val="clear"/>
            <w:tcMar>
              <w:top w:type="dxa" w:w="80"/>
              <w:left w:type="dxa" w:w="110"/>
              <w:bottom w:type="dxa" w:w="80"/>
              <w:right w:type="dxa" w:w="110"/>
            </w:tcMar>
          </w:tcPr>
          <w:p>
            <w:pPr>
              <w:spacing w:after="40" w:before="40" w:line="260"/>
            </w:pPr>
            <w:r>
              <w:rPr>
                <w:b/>
                <w:bCs/>
                <w:color w:val="FFFFFF"/>
                <w:sz w:val="19"/>
                <w:szCs w:val="19"/>
              </w:rPr>
              <w:t xml:space="preserve">Status</w:t>
            </w:r>
          </w:p>
        </w:tc>
        <w:tc>
          <w:tcPr>
            <w:tcW w:type="dxa" w:w="5100"/>
            <w:shd w:fill="1C3F35" w:val="clear"/>
            <w:tcMar>
              <w:top w:type="dxa" w:w="80"/>
              <w:left w:type="dxa" w:w="110"/>
              <w:bottom w:type="dxa" w:w="80"/>
              <w:right w:type="dxa" w:w="110"/>
            </w:tcMar>
          </w:tcPr>
          <w:p>
            <w:pPr>
              <w:spacing w:after="40" w:before="40" w:line="260"/>
            </w:pPr>
            <w:r>
              <w:rPr>
                <w:b/>
                <w:bCs/>
                <w:color w:val="FFFFFF"/>
                <w:sz w:val="19"/>
                <w:szCs w:val="19"/>
              </w:rPr>
              <w:t xml:space="preserve">Questions</w:t>
            </w:r>
          </w:p>
        </w:tc>
        <w:tc>
          <w:tcPr>
            <w:tcW w:type="dxa" w:w="2370"/>
            <w:shd w:fill="1C3F35" w:val="clear"/>
            <w:tcMar>
              <w:top w:type="dxa" w:w="80"/>
              <w:left w:type="dxa" w:w="110"/>
              <w:bottom w:type="dxa" w:w="80"/>
              <w:right w:type="dxa" w:w="110"/>
            </w:tcMar>
          </w:tcPr>
          <w:p>
            <w:pPr>
              <w:spacing w:after="40" w:before="40" w:line="260"/>
            </w:pPr>
            <w:r>
              <w:rPr>
                <w:b/>
                <w:bCs/>
                <w:color w:val="FFFFFF"/>
                <w:sz w:val="19"/>
                <w:szCs w:val="19"/>
              </w:rPr>
              <w:t xml:space="preserve">Action</w:t>
            </w:r>
          </w:p>
        </w:tc>
      </w:tr>
      <w:tr>
        <w:tc>
          <w:tcPr>
            <w:tcW w:type="dxa" w:w="1550"/>
            <w:tcMar>
              <w:top w:type="dxa" w:w="80"/>
              <w:left w:type="dxa" w:w="110"/>
              <w:bottom w:type="dxa" w:w="80"/>
              <w:right w:type="dxa" w:w="110"/>
            </w:tcMar>
          </w:tcPr>
          <w:p>
            <w:pPr>
              <w:spacing w:after="40" w:before="40" w:line="260"/>
            </w:pPr>
            <w:r>
              <w:rPr>
                <w:b/>
                <w:bCs/>
                <w:sz w:val="19"/>
                <w:szCs w:val="19"/>
              </w:rPr>
              <w:t xml:space="preserve">Settled</w:t>
            </w:r>
          </w:p>
        </w:tc>
        <w:tc>
          <w:tcPr>
            <w:tcW w:type="dxa" w:w="5100"/>
            <w:tcMar>
              <w:top w:type="dxa" w:w="80"/>
              <w:left w:type="dxa" w:w="110"/>
              <w:bottom w:type="dxa" w:w="80"/>
              <w:right w:type="dxa" w:w="110"/>
            </w:tcMar>
          </w:tcPr>
          <w:p>
            <w:pPr>
              <w:spacing w:after="40" w:before="40" w:line="260"/>
            </w:pPr>
            <w:r>
              <w:rPr>
                <w:b w:val="false"/>
                <w:bCs w:val="false"/>
                <w:sz w:val="19"/>
                <w:szCs w:val="19"/>
              </w:rPr>
              <w:t xml:space="preserve">A2, A3, B1, B3, B4, B5, D2, D3, F1, F2  (ten)</w:t>
            </w:r>
          </w:p>
        </w:tc>
        <w:tc>
          <w:tcPr>
            <w:tcW w:type="dxa" w:w="2370"/>
            <w:tcMar>
              <w:top w:type="dxa" w:w="80"/>
              <w:left w:type="dxa" w:w="110"/>
              <w:bottom w:type="dxa" w:w="80"/>
              <w:right w:type="dxa" w:w="110"/>
            </w:tcMar>
          </w:tcPr>
          <w:p>
            <w:pPr>
              <w:spacing w:after="40" w:before="40" w:line="260"/>
            </w:pPr>
            <w:r>
              <w:rPr>
                <w:b w:val="false"/>
                <w:bCs w:val="false"/>
                <w:sz w:val="19"/>
                <w:szCs w:val="19"/>
              </w:rPr>
              <w:t xml:space="preserve">Write into SRS v1.4</w:t>
            </w:r>
          </w:p>
        </w:tc>
      </w:tr>
      <w:tr>
        <w:tc>
          <w:tcPr>
            <w:tcW w:type="dxa" w:w="1550"/>
            <w:shd w:fill="F2F5F4" w:val="clear"/>
            <w:tcMar>
              <w:top w:type="dxa" w:w="80"/>
              <w:left w:type="dxa" w:w="110"/>
              <w:bottom w:type="dxa" w:w="80"/>
              <w:right w:type="dxa" w:w="110"/>
            </w:tcMar>
          </w:tcPr>
          <w:p>
            <w:pPr>
              <w:spacing w:after="40" w:before="40" w:line="260"/>
            </w:pPr>
            <w:r>
              <w:rPr>
                <w:b/>
                <w:bCs/>
                <w:sz w:val="19"/>
                <w:szCs w:val="19"/>
              </w:rPr>
              <w:t xml:space="preserve">Revise</w:t>
            </w:r>
          </w:p>
        </w:tc>
        <w:tc>
          <w:tcPr>
            <w:tcW w:type="dxa" w:w="5100"/>
            <w:shd w:fill="F2F5F4" w:val="clear"/>
            <w:tcMar>
              <w:top w:type="dxa" w:w="80"/>
              <w:left w:type="dxa" w:w="110"/>
              <w:bottom w:type="dxa" w:w="80"/>
              <w:right w:type="dxa" w:w="110"/>
            </w:tcMar>
          </w:tcPr>
          <w:p>
            <w:pPr>
              <w:spacing w:after="40" w:before="40" w:line="260"/>
            </w:pPr>
            <w:r>
              <w:rPr>
                <w:b w:val="false"/>
                <w:bCs w:val="false"/>
                <w:sz w:val="19"/>
                <w:szCs w:val="19"/>
              </w:rPr>
              <w:t xml:space="preserve">A1, E3  — plus the mechanism behind A2 and A3</w:t>
            </w:r>
          </w:p>
        </w:tc>
        <w:tc>
          <w:tcPr>
            <w:tcW w:type="dxa" w:w="2370"/>
            <w:shd w:fill="F2F5F4" w:val="clear"/>
            <w:tcMar>
              <w:top w:type="dxa" w:w="80"/>
              <w:left w:type="dxa" w:w="110"/>
              <w:bottom w:type="dxa" w:w="80"/>
              <w:right w:type="dxa" w:w="110"/>
            </w:tcMar>
          </w:tcPr>
          <w:p>
            <w:pPr>
              <w:spacing w:after="40" w:before="40" w:line="260"/>
            </w:pPr>
            <w:r>
              <w:rPr>
                <w:b w:val="false"/>
                <w:bCs w:val="false"/>
                <w:sz w:val="19"/>
                <w:szCs w:val="19"/>
              </w:rPr>
              <w:t xml:space="preserve">Owner decision, then SRS v1.4</w:t>
            </w:r>
          </w:p>
        </w:tc>
      </w:tr>
      <w:tr>
        <w:tc>
          <w:tcPr>
            <w:tcW w:type="dxa" w:w="1550"/>
            <w:tcMar>
              <w:top w:type="dxa" w:w="80"/>
              <w:left w:type="dxa" w:w="110"/>
              <w:bottom w:type="dxa" w:w="80"/>
              <w:right w:type="dxa" w:w="110"/>
            </w:tcMar>
          </w:tcPr>
          <w:p>
            <w:pPr>
              <w:spacing w:after="40" w:before="40" w:line="260"/>
            </w:pPr>
            <w:r>
              <w:rPr>
                <w:b/>
                <w:bCs/>
                <w:sz w:val="19"/>
                <w:szCs w:val="19"/>
              </w:rPr>
              <w:t xml:space="preserve">Open</w:t>
            </w:r>
          </w:p>
        </w:tc>
        <w:tc>
          <w:tcPr>
            <w:tcW w:type="dxa" w:w="5100"/>
            <w:tcMar>
              <w:top w:type="dxa" w:w="80"/>
              <w:left w:type="dxa" w:w="110"/>
              <w:bottom w:type="dxa" w:w="80"/>
              <w:right w:type="dxa" w:w="110"/>
            </w:tcMar>
          </w:tcPr>
          <w:p>
            <w:pPr>
              <w:spacing w:after="40" w:before="40" w:line="260"/>
            </w:pPr>
            <w:r>
              <w:rPr>
                <w:b w:val="false"/>
                <w:bCs w:val="false"/>
                <w:sz w:val="19"/>
                <w:szCs w:val="19"/>
              </w:rPr>
              <w:t xml:space="preserve">A4, B2, C1, C2, C3, C4, D1, E (scope), F (GN level)  (nine)</w:t>
            </w:r>
          </w:p>
        </w:tc>
        <w:tc>
          <w:tcPr>
            <w:tcW w:type="dxa" w:w="2370"/>
            <w:tcMar>
              <w:top w:type="dxa" w:w="80"/>
              <w:left w:type="dxa" w:w="110"/>
              <w:bottom w:type="dxa" w:w="80"/>
              <w:right w:type="dxa" w:w="110"/>
            </w:tcMar>
          </w:tcPr>
          <w:p>
            <w:pPr>
              <w:spacing w:after="40" w:before="40" w:line="260"/>
            </w:pPr>
            <w:r>
              <w:rPr>
                <w:b w:val="false"/>
                <w:bCs w:val="false"/>
                <w:sz w:val="19"/>
                <w:szCs w:val="19"/>
              </w:rPr>
              <w:t xml:space="preserve">Second panel round</w:t>
            </w:r>
          </w:p>
        </w:tc>
      </w:tr>
      <w:tr>
        <w:tc>
          <w:tcPr>
            <w:tcW w:type="dxa" w:w="1550"/>
            <w:shd w:fill="F2F5F4" w:val="clear"/>
            <w:tcMar>
              <w:top w:type="dxa" w:w="80"/>
              <w:left w:type="dxa" w:w="110"/>
              <w:bottom w:type="dxa" w:w="80"/>
              <w:right w:type="dxa" w:w="110"/>
            </w:tcMar>
          </w:tcPr>
          <w:p>
            <w:pPr>
              <w:spacing w:after="40" w:before="40" w:line="260"/>
            </w:pPr>
            <w:r>
              <w:rPr>
                <w:b/>
                <w:bCs/>
                <w:sz w:val="19"/>
                <w:szCs w:val="19"/>
              </w:rPr>
              <w:t xml:space="preserve">New</w:t>
            </w:r>
          </w:p>
        </w:tc>
        <w:tc>
          <w:tcPr>
            <w:tcW w:type="dxa" w:w="5100"/>
            <w:shd w:fill="F2F5F4" w:val="clear"/>
            <w:tcMar>
              <w:top w:type="dxa" w:w="80"/>
              <w:left w:type="dxa" w:w="110"/>
              <w:bottom w:type="dxa" w:w="80"/>
              <w:right w:type="dxa" w:w="110"/>
            </w:tcMar>
          </w:tcPr>
          <w:p>
            <w:pPr>
              <w:spacing w:after="40" w:before="40" w:line="260"/>
            </w:pPr>
            <w:r>
              <w:rPr>
                <w:b w:val="false"/>
                <w:bCs w:val="false"/>
                <w:sz w:val="19"/>
                <w:szCs w:val="19"/>
              </w:rPr>
              <w:t xml:space="preserve">The hazard-construct question</w:t>
            </w:r>
          </w:p>
        </w:tc>
        <w:tc>
          <w:tcPr>
            <w:tcW w:type="dxa" w:w="2370"/>
            <w:shd w:fill="F2F5F4" w:val="clear"/>
            <w:tcMar>
              <w:top w:type="dxa" w:w="80"/>
              <w:left w:type="dxa" w:w="110"/>
              <w:bottom w:type="dxa" w:w="80"/>
              <w:right w:type="dxa" w:w="110"/>
            </w:tcMar>
          </w:tcPr>
          <w:p>
            <w:pPr>
              <w:spacing w:after="40" w:before="40" w:line="260"/>
            </w:pPr>
            <w:r>
              <w:rPr>
                <w:b w:val="false"/>
                <w:bCs w:val="false"/>
                <w:sz w:val="19"/>
                <w:szCs w:val="19"/>
              </w:rPr>
              <w:t xml:space="preserve">Second panel round — resolve first</w:t>
            </w:r>
          </w:p>
        </w:tc>
      </w:tr>
    </w:tbl>
    <w:p>
      <w:pPr>
        <w:spacing w:after="160"/>
      </w:pPr>
    </w:p>
    <w:tbl>
      <w:tblPr>
        <w:tblW w:type="dxa" w:w="9020"/>
        <w:tblBorders>
          <w:top w:val="single" w:color="9B2C2C" w:sz="6"/>
          <w:left w:val="single" w:color="9B2C2C" w:sz="6"/>
          <w:bottom w:val="single" w:color="9B2C2C" w:sz="6"/>
          <w:right w:val="single" w:color="9B2C2C" w:sz="6"/>
          <w:insideH w:val="none"/>
          <w:insideV w:val="none"/>
        </w:tblBorders>
      </w:tblPr>
      <w:tblGrid>
        <w:gridCol w:w="9020"/>
      </w:tblGrid>
      <w:tr>
        <w:tc>
          <w:tcPr>
            <w:tcW w:type="dxa" w:w="9020"/>
            <w:shd w:fill="F2F5F4" w:val="clear"/>
            <w:tcMar>
              <w:top w:type="dxa" w:w="130"/>
              <w:left w:type="dxa" w:w="150"/>
              <w:bottom w:type="dxa" w:w="130"/>
              <w:right w:type="dxa" w:w="150"/>
            </w:tcMar>
          </w:tcPr>
          <w:p>
            <w:pPr>
              <w:spacing w:after="70"/>
            </w:pPr>
            <w:r>
              <w:rPr>
                <w:b/>
                <w:bCs/>
                <w:caps/>
                <w:color w:val="9B2C2C"/>
                <w:sz w:val="19"/>
                <w:szCs w:val="19"/>
              </w:rPr>
              <w:t xml:space="preserve">THE ONE THING THAT MATTERS MOST</w:t>
            </w:r>
          </w:p>
          <w:p>
            <w:pPr>
              <w:spacing w:after="70" w:line="270"/>
            </w:pPr>
            <w:r>
              <w:rPr>
                <w:sz w:val="19"/>
                <w:szCs w:val="19"/>
              </w:rPr>
              <w:t xml:space="preserve">Every profile defines drought, flood and landslide hazard in one of two incompatible ways: 128 profiles weight a single composite hazard index at 100%, and 115 weight the underlying components — event counts, warm days, SPI. No profile uses both.</w:t>
            </w:r>
          </w:p>
          <w:p>
            <w:pPr>
              <w:spacing w:after="0" w:line="270"/>
            </w:pPr>
            <w:r>
              <w:rPr>
                <w:sz w:val="19"/>
                <w:szCs w:val="19"/>
              </w:rPr>
              <w:t xml:space="preserve">All 558 unweighted memberships in the hazard domain are caused by this split, and nothing else. One decision about which model the platform uses closes every one of them — 31% of the entire weighting backlog — and removes the only genuine comparability defect in the collected data.</w:t>
            </w:r>
          </w:p>
        </w:tc>
      </w:tr>
    </w:tbl>
    <w:p>
      <w:pPr>
        <w:pageBreakBefore/>
      </w:pPr>
    </w:p>
    <w:p>
      <w:pPr>
        <w:pStyle w:val="Heading1"/>
      </w:pPr>
      <w:r>
        <w:t xml:space="preserve">Part 1 — Settled</w:t>
      </w:r>
    </w:p>
    <w:p>
      <w:pPr>
        <w:spacing w:after="120" w:line="276"/>
      </w:pPr>
      <w:r>
        <w:t xml:space="preserve">These ten answers stand as given. They are recorded here as decisions and require no further panel time.</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900"/>
        <w:gridCol w:w="4000"/>
        <w:gridCol w:w="4120"/>
      </w:tblGrid>
      <w:tr>
        <w:trPr>
          <w:tblHeader/>
        </w:trPr>
        <w:tc>
          <w:tcPr>
            <w:tcW w:type="dxa" w:w="900"/>
            <w:shd w:fill="1C3F35" w:val="clear"/>
            <w:tcMar>
              <w:top w:type="dxa" w:w="80"/>
              <w:left w:type="dxa" w:w="110"/>
              <w:bottom w:type="dxa" w:w="80"/>
              <w:right w:type="dxa" w:w="110"/>
            </w:tcMar>
          </w:tcPr>
          <w:p>
            <w:pPr>
              <w:spacing w:after="40" w:before="40" w:line="260"/>
            </w:pPr>
            <w:r>
              <w:rPr>
                <w:b/>
                <w:bCs/>
                <w:color w:val="FFFFFF"/>
                <w:sz w:val="19"/>
                <w:szCs w:val="19"/>
              </w:rPr>
              <w:t xml:space="preserve">ID</w:t>
            </w:r>
          </w:p>
        </w:tc>
        <w:tc>
          <w:tcPr>
            <w:tcW w:type="dxa" w:w="4000"/>
            <w:shd w:fill="1C3F35" w:val="clear"/>
            <w:tcMar>
              <w:top w:type="dxa" w:w="80"/>
              <w:left w:type="dxa" w:w="110"/>
              <w:bottom w:type="dxa" w:w="80"/>
              <w:right w:type="dxa" w:w="110"/>
            </w:tcMar>
          </w:tcPr>
          <w:p>
            <w:pPr>
              <w:spacing w:after="40" w:before="40" w:line="260"/>
            </w:pPr>
            <w:r>
              <w:rPr>
                <w:b/>
                <w:bCs/>
                <w:color w:val="FFFFFF"/>
                <w:sz w:val="19"/>
                <w:szCs w:val="19"/>
              </w:rPr>
              <w:t xml:space="preserve">Decision</w:t>
            </w:r>
          </w:p>
        </w:tc>
        <w:tc>
          <w:tcPr>
            <w:tcW w:type="dxa" w:w="4120"/>
            <w:shd w:fill="1C3F35" w:val="clear"/>
            <w:tcMar>
              <w:top w:type="dxa" w:w="80"/>
              <w:left w:type="dxa" w:w="110"/>
              <w:bottom w:type="dxa" w:w="80"/>
              <w:right w:type="dxa" w:w="110"/>
            </w:tcMar>
          </w:tcPr>
          <w:p>
            <w:pPr>
              <w:spacing w:after="40" w:before="40" w:line="260"/>
            </w:pPr>
            <w:r>
              <w:rPr>
                <w:b/>
                <w:bCs/>
                <w:color w:val="FFFFFF"/>
                <w:sz w:val="19"/>
                <w:szCs w:val="19"/>
              </w:rPr>
              <w:t xml:space="preserve">Consequence for the build</w:t>
            </w:r>
          </w:p>
        </w:tc>
      </w:tr>
      <w:tr>
        <w:tc>
          <w:tcPr>
            <w:tcW w:type="dxa" w:w="900"/>
            <w:tcMar>
              <w:top w:type="dxa" w:w="80"/>
              <w:left w:type="dxa" w:w="110"/>
              <w:bottom w:type="dxa" w:w="80"/>
              <w:right w:type="dxa" w:w="110"/>
            </w:tcMar>
          </w:tcPr>
          <w:p>
            <w:pPr>
              <w:spacing w:after="40" w:before="40" w:line="260"/>
            </w:pPr>
            <w:r>
              <w:rPr>
                <w:b/>
                <w:bCs/>
                <w:sz w:val="18"/>
                <w:szCs w:val="18"/>
              </w:rPr>
              <w:t xml:space="preserve">A2</w:t>
            </w:r>
          </w:p>
        </w:tc>
        <w:tc>
          <w:tcPr>
            <w:tcW w:type="dxa" w:w="4000"/>
            <w:tcMar>
              <w:top w:type="dxa" w:w="80"/>
              <w:left w:type="dxa" w:w="110"/>
              <w:bottom w:type="dxa" w:w="80"/>
              <w:right w:type="dxa" w:w="110"/>
            </w:tcMar>
          </w:tcPr>
          <w:p>
            <w:pPr>
              <w:spacing w:after="40" w:before="40" w:line="260"/>
            </w:pPr>
            <w:r>
              <w:rPr>
                <w:b w:val="false"/>
                <w:bCs w:val="false"/>
                <w:sz w:val="18"/>
                <w:szCs w:val="18"/>
              </w:rPr>
              <w:t xml:space="preserve">Min-max normalisation, pooled across periods, for all 174 variables.</w:t>
            </w:r>
          </w:p>
        </w:tc>
        <w:tc>
          <w:tcPr>
            <w:tcW w:type="dxa" w:w="4120"/>
            <w:tcMar>
              <w:top w:type="dxa" w:w="80"/>
              <w:left w:type="dxa" w:w="110"/>
              <w:bottom w:type="dxa" w:w="80"/>
              <w:right w:type="dxa" w:w="110"/>
            </w:tcMar>
          </w:tcPr>
          <w:p>
            <w:pPr>
              <w:spacing w:after="40" w:before="40" w:line="260"/>
            </w:pPr>
            <w:r>
              <w:rPr>
                <w:b w:val="false"/>
                <w:bCs w:val="false"/>
                <w:sz w:val="18"/>
                <w:szCs w:val="18"/>
              </w:rPr>
              <w:t xml:space="preserve">Stands, subject to the scope revision in Part 2 (R2).</w:t>
            </w:r>
          </w:p>
        </w:tc>
      </w:tr>
      <w:tr>
        <w:tc>
          <w:tcPr>
            <w:tcW w:type="dxa" w:w="900"/>
            <w:shd w:fill="F2F5F4" w:val="clear"/>
            <w:tcMar>
              <w:top w:type="dxa" w:w="80"/>
              <w:left w:type="dxa" w:w="110"/>
              <w:bottom w:type="dxa" w:w="80"/>
              <w:right w:type="dxa" w:w="110"/>
            </w:tcMar>
          </w:tcPr>
          <w:p>
            <w:pPr>
              <w:spacing w:after="40" w:before="40" w:line="260"/>
            </w:pPr>
            <w:r>
              <w:rPr>
                <w:b/>
                <w:bCs/>
                <w:sz w:val="18"/>
                <w:szCs w:val="18"/>
              </w:rPr>
              <w:t xml:space="preserve">A3</w:t>
            </w:r>
          </w:p>
        </w:tc>
        <w:tc>
          <w:tcPr>
            <w:tcW w:type="dxa" w:w="4000"/>
            <w:shd w:fill="F2F5F4" w:val="clear"/>
            <w:tcMar>
              <w:top w:type="dxa" w:w="80"/>
              <w:left w:type="dxa" w:w="110"/>
              <w:bottom w:type="dxa" w:w="80"/>
              <w:right w:type="dxa" w:w="110"/>
            </w:tcMar>
          </w:tcPr>
          <w:p>
            <w:pPr>
              <w:spacing w:after="40" w:before="40" w:line="260"/>
            </w:pPr>
            <w:r>
              <w:rPr>
                <w:b w:val="false"/>
                <w:bCs w:val="false"/>
                <w:sz w:val="18"/>
                <w:szCs w:val="18"/>
              </w:rPr>
              <w:t xml:space="preserve">No score is computed for a profile until every division in its province has a value.</w:t>
            </w:r>
          </w:p>
        </w:tc>
        <w:tc>
          <w:tcPr>
            <w:tcW w:type="dxa" w:w="4120"/>
            <w:shd w:fill="F2F5F4" w:val="clear"/>
            <w:tcMar>
              <w:top w:type="dxa" w:w="80"/>
              <w:left w:type="dxa" w:w="110"/>
              <w:bottom w:type="dxa" w:w="80"/>
              <w:right w:type="dxa" w:w="110"/>
            </w:tcMar>
          </w:tcPr>
          <w:p>
            <w:pPr>
              <w:spacing w:after="40" w:before="40" w:line="260"/>
            </w:pPr>
            <w:r>
              <w:rPr>
                <w:b w:val="false"/>
                <w:bCs w:val="false"/>
                <w:sz w:val="18"/>
                <w:szCs w:val="18"/>
              </w:rPr>
              <w:t xml:space="preserve">Stands in principle; the mechanism is revised in Part 2 (R3).</w:t>
            </w:r>
          </w:p>
        </w:tc>
      </w:tr>
      <w:tr>
        <w:tc>
          <w:tcPr>
            <w:tcW w:type="dxa" w:w="900"/>
            <w:tcMar>
              <w:top w:type="dxa" w:w="80"/>
              <w:left w:type="dxa" w:w="110"/>
              <w:bottom w:type="dxa" w:w="80"/>
              <w:right w:type="dxa" w:w="110"/>
            </w:tcMar>
          </w:tcPr>
          <w:p>
            <w:pPr>
              <w:spacing w:after="40" w:before="40" w:line="260"/>
            </w:pPr>
            <w:r>
              <w:rPr>
                <w:b/>
                <w:bCs/>
                <w:sz w:val="18"/>
                <w:szCs w:val="18"/>
              </w:rPr>
              <w:t xml:space="preserve">B1</w:t>
            </w:r>
          </w:p>
        </w:tc>
        <w:tc>
          <w:tcPr>
            <w:tcW w:type="dxa" w:w="4000"/>
            <w:tcMar>
              <w:top w:type="dxa" w:w="80"/>
              <w:left w:type="dxa" w:w="110"/>
              <w:bottom w:type="dxa" w:w="80"/>
              <w:right w:type="dxa" w:w="110"/>
            </w:tcMar>
          </w:tcPr>
          <w:p>
            <w:pPr>
              <w:spacing w:after="40" w:before="40" w:line="260"/>
            </w:pPr>
            <w:r>
              <w:rPr>
                <w:b w:val="false"/>
                <w:bCs w:val="false"/>
                <w:sz w:val="18"/>
                <w:szCs w:val="18"/>
              </w:rPr>
              <w:t xml:space="preserve">A period value is a typical year, except the tagged exceptions.</w:t>
            </w:r>
          </w:p>
        </w:tc>
        <w:tc>
          <w:tcPr>
            <w:tcW w:type="dxa" w:w="4120"/>
            <w:tcMar>
              <w:top w:type="dxa" w:w="80"/>
              <w:left w:type="dxa" w:w="110"/>
              <w:bottom w:type="dxa" w:w="80"/>
              <w:right w:type="dxa" w:w="110"/>
            </w:tcMar>
          </w:tcPr>
          <w:p>
            <w:pPr>
              <w:spacing w:after="40" w:before="40" w:line="260"/>
            </w:pPr>
            <w:r>
              <w:rPr>
                <w:b w:val="false"/>
                <w:bCs w:val="false"/>
                <w:sz w:val="18"/>
                <w:szCs w:val="18"/>
              </w:rPr>
              <w:t xml:space="preserve">No change. 160 variables keep period_aggregation = average.</w:t>
            </w:r>
          </w:p>
        </w:tc>
      </w:tr>
      <w:tr>
        <w:tc>
          <w:tcPr>
            <w:tcW w:type="dxa" w:w="900"/>
            <w:shd w:fill="F2F5F4" w:val="clear"/>
            <w:tcMar>
              <w:top w:type="dxa" w:w="80"/>
              <w:left w:type="dxa" w:w="110"/>
              <w:bottom w:type="dxa" w:w="80"/>
              <w:right w:type="dxa" w:w="110"/>
            </w:tcMar>
          </w:tcPr>
          <w:p>
            <w:pPr>
              <w:spacing w:after="40" w:before="40" w:line="260"/>
            </w:pPr>
            <w:r>
              <w:rPr>
                <w:b/>
                <w:bCs/>
                <w:sz w:val="18"/>
                <w:szCs w:val="18"/>
              </w:rPr>
              <w:t xml:space="preserve">B3</w:t>
            </w:r>
          </w:p>
        </w:tc>
        <w:tc>
          <w:tcPr>
            <w:tcW w:type="dxa" w:w="4000"/>
            <w:shd w:fill="F2F5F4" w:val="clear"/>
            <w:tcMar>
              <w:top w:type="dxa" w:w="80"/>
              <w:left w:type="dxa" w:w="110"/>
              <w:bottom w:type="dxa" w:w="80"/>
              <w:right w:type="dxa" w:w="110"/>
            </w:tcMar>
          </w:tcPr>
          <w:p>
            <w:pPr>
              <w:spacing w:after="40" w:before="40" w:line="260"/>
            </w:pPr>
            <w:r>
              <w:rPr>
                <w:b w:val="false"/>
                <w:bCs w:val="false"/>
                <w:sz w:val="18"/>
                <w:szCs w:val="18"/>
              </w:rPr>
              <w:t xml:space="preserve">The eleven fixed_window and three max classifications stand. No variable needs total or end_of_period.</w:t>
            </w:r>
          </w:p>
        </w:tc>
        <w:tc>
          <w:tcPr>
            <w:tcW w:type="dxa" w:w="4120"/>
            <w:shd w:fill="F2F5F4" w:val="clear"/>
            <w:tcMar>
              <w:top w:type="dxa" w:w="80"/>
              <w:left w:type="dxa" w:w="110"/>
              <w:bottom w:type="dxa" w:w="80"/>
              <w:right w:type="dxa" w:w="110"/>
            </w:tcMar>
          </w:tcPr>
          <w:p>
            <w:pPr>
              <w:spacing w:after="40" w:before="40" w:line="260"/>
            </w:pPr>
            <w:r>
              <w:rPr>
                <w:b w:val="false"/>
                <w:bCs w:val="false"/>
                <w:sz w:val="18"/>
                <w:szCs w:val="18"/>
              </w:rPr>
              <w:t xml:space="preserve">Closes open item O-2. The two unused classifications stay in the schema as spare vocabulary.</w:t>
            </w:r>
          </w:p>
        </w:tc>
      </w:tr>
      <w:tr>
        <w:tc>
          <w:tcPr>
            <w:tcW w:type="dxa" w:w="900"/>
            <w:tcMar>
              <w:top w:type="dxa" w:w="80"/>
              <w:left w:type="dxa" w:w="110"/>
              <w:bottom w:type="dxa" w:w="80"/>
              <w:right w:type="dxa" w:w="110"/>
            </w:tcMar>
          </w:tcPr>
          <w:p>
            <w:pPr>
              <w:spacing w:after="40" w:before="40" w:line="260"/>
            </w:pPr>
            <w:r>
              <w:rPr>
                <w:b/>
                <w:bCs/>
                <w:sz w:val="18"/>
                <w:szCs w:val="18"/>
              </w:rPr>
              <w:t xml:space="preserve">B4</w:t>
            </w:r>
          </w:p>
        </w:tc>
        <w:tc>
          <w:tcPr>
            <w:tcW w:type="dxa" w:w="4000"/>
            <w:tcMar>
              <w:top w:type="dxa" w:w="80"/>
              <w:left w:type="dxa" w:w="110"/>
              <w:bottom w:type="dxa" w:w="80"/>
              <w:right w:type="dxa" w:w="110"/>
            </w:tcMar>
          </w:tcPr>
          <w:p>
            <w:pPr>
              <w:spacing w:after="40" w:before="40" w:line="260"/>
            </w:pPr>
            <w:r>
              <w:rPr>
                <w:b w:val="false"/>
                <w:bCs w:val="false"/>
                <w:sz w:val="18"/>
                <w:szCs w:val="18"/>
              </w:rPr>
              <w:t xml:space="preserve">A variable must use one granularity across all divisions in a profile. Mixed input is rejected at import.</w:t>
            </w:r>
          </w:p>
        </w:tc>
        <w:tc>
          <w:tcPr>
            <w:tcW w:type="dxa" w:w="4120"/>
            <w:tcMar>
              <w:top w:type="dxa" w:w="80"/>
              <w:left w:type="dxa" w:w="110"/>
              <w:bottom w:type="dxa" w:w="80"/>
              <w:right w:type="dxa" w:w="110"/>
            </w:tcMar>
          </w:tcPr>
          <w:p>
            <w:pPr>
              <w:spacing w:after="40" w:before="40" w:line="260"/>
            </w:pPr>
            <w:r>
              <w:rPr>
                <w:b w:val="false"/>
                <w:bCs w:val="false"/>
                <w:sz w:val="18"/>
                <w:szCs w:val="18"/>
              </w:rPr>
              <w:t xml:space="preserve">New import validation. Toolbox output must be written with a period label matching the variable's other divisions.</w:t>
            </w:r>
          </w:p>
        </w:tc>
      </w:tr>
      <w:tr>
        <w:tc>
          <w:tcPr>
            <w:tcW w:type="dxa" w:w="900"/>
            <w:shd w:fill="F2F5F4" w:val="clear"/>
            <w:tcMar>
              <w:top w:type="dxa" w:w="80"/>
              <w:left w:type="dxa" w:w="110"/>
              <w:bottom w:type="dxa" w:w="80"/>
              <w:right w:type="dxa" w:w="110"/>
            </w:tcMar>
          </w:tcPr>
          <w:p>
            <w:pPr>
              <w:spacing w:after="40" w:before="40" w:line="260"/>
            </w:pPr>
            <w:r>
              <w:rPr>
                <w:b/>
                <w:bCs/>
                <w:sz w:val="18"/>
                <w:szCs w:val="18"/>
              </w:rPr>
              <w:t xml:space="preserve">B5</w:t>
            </w:r>
          </w:p>
        </w:tc>
        <w:tc>
          <w:tcPr>
            <w:tcW w:type="dxa" w:w="4000"/>
            <w:shd w:fill="F2F5F4" w:val="clear"/>
            <w:tcMar>
              <w:top w:type="dxa" w:w="80"/>
              <w:left w:type="dxa" w:w="110"/>
              <w:bottom w:type="dxa" w:w="80"/>
              <w:right w:type="dxa" w:w="110"/>
            </w:tcMar>
          </w:tcPr>
          <w:p>
            <w:pPr>
              <w:spacing w:after="40" w:before="40" w:line="260"/>
            </w:pPr>
            <w:r>
              <w:rPr>
                <w:b w:val="false"/>
                <w:bCs w:val="false"/>
                <w:sz w:val="18"/>
                <w:szCs w:val="18"/>
              </w:rPr>
              <w:t xml:space="preserve">Fixed-window variables appear on the trend chart like any other.</w:t>
            </w:r>
          </w:p>
        </w:tc>
        <w:tc>
          <w:tcPr>
            <w:tcW w:type="dxa" w:w="4120"/>
            <w:shd w:fill="F2F5F4" w:val="clear"/>
            <w:tcMar>
              <w:top w:type="dxa" w:w="80"/>
              <w:left w:type="dxa" w:w="110"/>
              <w:bottom w:type="dxa" w:w="80"/>
              <w:right w:type="dxa" w:w="110"/>
            </w:tcMar>
          </w:tcPr>
          <w:p>
            <w:pPr>
              <w:spacing w:after="40" w:before="40" w:line="260"/>
            </w:pPr>
            <w:r>
              <w:rPr>
                <w:b w:val="false"/>
                <w:bCs w:val="false"/>
                <w:sz w:val="18"/>
                <w:szCs w:val="18"/>
              </w:rPr>
              <w:t xml:space="preserve">Accepted that a flat line may be read as observed stability. No annotation required.</w:t>
            </w:r>
          </w:p>
        </w:tc>
      </w:tr>
      <w:tr>
        <w:tc>
          <w:tcPr>
            <w:tcW w:type="dxa" w:w="900"/>
            <w:tcMar>
              <w:top w:type="dxa" w:w="80"/>
              <w:left w:type="dxa" w:w="110"/>
              <w:bottom w:type="dxa" w:w="80"/>
              <w:right w:type="dxa" w:w="110"/>
            </w:tcMar>
          </w:tcPr>
          <w:p>
            <w:pPr>
              <w:spacing w:after="40" w:before="40" w:line="260"/>
            </w:pPr>
            <w:r>
              <w:rPr>
                <w:b/>
                <w:bCs/>
                <w:sz w:val="18"/>
                <w:szCs w:val="18"/>
              </w:rPr>
              <w:t xml:space="preserve">D2</w:t>
            </w:r>
          </w:p>
        </w:tc>
        <w:tc>
          <w:tcPr>
            <w:tcW w:type="dxa" w:w="4000"/>
            <w:tcMar>
              <w:top w:type="dxa" w:w="80"/>
              <w:left w:type="dxa" w:w="110"/>
              <w:bottom w:type="dxa" w:w="80"/>
              <w:right w:type="dxa" w:w="110"/>
            </w:tcMar>
          </w:tcPr>
          <w:p>
            <w:pPr>
              <w:spacing w:after="40" w:before="40" w:line="260"/>
            </w:pPr>
            <w:r>
              <w:rPr>
                <w:b w:val="false"/>
                <w:bCs w:val="false"/>
                <w:sz w:val="18"/>
                <w:szCs w:val="18"/>
              </w:rPr>
              <w:t xml:space="preserve">Each layer declares the area it covers. Inside that area with no features scores zero; outside it is unassessed.</w:t>
            </w:r>
          </w:p>
        </w:tc>
        <w:tc>
          <w:tcPr>
            <w:tcW w:type="dxa" w:w="4120"/>
            <w:tcMar>
              <w:top w:type="dxa" w:w="80"/>
              <w:left w:type="dxa" w:w="110"/>
              <w:bottom w:type="dxa" w:w="80"/>
              <w:right w:type="dxa" w:w="110"/>
            </w:tcMar>
          </w:tcPr>
          <w:p>
            <w:pPr>
              <w:spacing w:after="40" w:before="40" w:line="260"/>
            </w:pPr>
            <w:r>
              <w:rPr>
                <w:b w:val="false"/>
                <w:bCs w:val="false"/>
                <w:sz w:val="18"/>
                <w:szCs w:val="18"/>
              </w:rPr>
              <w:t xml:space="preserve">Satisfies NFR-10 inside the toolbox. Requires a coverage extent recorded per layer on import.</w:t>
            </w:r>
          </w:p>
        </w:tc>
      </w:tr>
      <w:tr>
        <w:tc>
          <w:tcPr>
            <w:tcW w:type="dxa" w:w="900"/>
            <w:shd w:fill="F2F5F4" w:val="clear"/>
            <w:tcMar>
              <w:top w:type="dxa" w:w="80"/>
              <w:left w:type="dxa" w:w="110"/>
              <w:bottom w:type="dxa" w:w="80"/>
              <w:right w:type="dxa" w:w="110"/>
            </w:tcMar>
          </w:tcPr>
          <w:p>
            <w:pPr>
              <w:spacing w:after="40" w:before="40" w:line="260"/>
            </w:pPr>
            <w:r>
              <w:rPr>
                <w:b/>
                <w:bCs/>
                <w:sz w:val="18"/>
                <w:szCs w:val="18"/>
              </w:rPr>
              <w:t xml:space="preserve">D3</w:t>
            </w:r>
          </w:p>
        </w:tc>
        <w:tc>
          <w:tcPr>
            <w:tcW w:type="dxa" w:w="4000"/>
            <w:shd w:fill="F2F5F4" w:val="clear"/>
            <w:tcMar>
              <w:top w:type="dxa" w:w="80"/>
              <w:left w:type="dxa" w:w="110"/>
              <w:bottom w:type="dxa" w:w="80"/>
              <w:right w:type="dxa" w:w="110"/>
            </w:tcMar>
          </w:tcPr>
          <w:p>
            <w:pPr>
              <w:spacing w:after="40" w:before="40" w:line="260"/>
            </w:pPr>
            <w:r>
              <w:rPr>
                <w:b w:val="false"/>
                <w:bCs w:val="false"/>
                <w:sz w:val="18"/>
                <w:szCs w:val="18"/>
              </w:rPr>
              <w:t xml:space="preserve">Distance is measured from the division centroid; current behaviour retained.</w:t>
            </w:r>
          </w:p>
        </w:tc>
        <w:tc>
          <w:tcPr>
            <w:tcW w:type="dxa" w:w="4120"/>
            <w:shd w:fill="F2F5F4" w:val="clear"/>
            <w:tcMar>
              <w:top w:type="dxa" w:w="80"/>
              <w:left w:type="dxa" w:w="110"/>
              <w:bottom w:type="dxa" w:w="80"/>
              <w:right w:type="dxa" w:w="110"/>
            </w:tcMar>
          </w:tcPr>
          <w:p>
            <w:pPr>
              <w:spacing w:after="40" w:before="40" w:line="260"/>
            </w:pPr>
            <w:r>
              <w:rPr>
                <w:b w:val="false"/>
                <w:bCs w:val="false"/>
                <w:sz w:val="18"/>
                <w:szCs w:val="18"/>
              </w:rPr>
              <w:t xml:space="preserve">Figure 6's statement that 54 divisions lie within 5 km of the sea should be labelled as a centroid measure.</w:t>
            </w:r>
          </w:p>
        </w:tc>
      </w:tr>
      <w:tr>
        <w:tc>
          <w:tcPr>
            <w:tcW w:type="dxa" w:w="900"/>
            <w:tcMar>
              <w:top w:type="dxa" w:w="80"/>
              <w:left w:type="dxa" w:w="110"/>
              <w:bottom w:type="dxa" w:w="80"/>
              <w:right w:type="dxa" w:w="110"/>
            </w:tcMar>
          </w:tcPr>
          <w:p>
            <w:pPr>
              <w:spacing w:after="40" w:before="40" w:line="260"/>
            </w:pPr>
            <w:r>
              <w:rPr>
                <w:b/>
                <w:bCs/>
                <w:sz w:val="18"/>
                <w:szCs w:val="18"/>
              </w:rPr>
              <w:t xml:space="preserve">F1</w:t>
            </w:r>
          </w:p>
        </w:tc>
        <w:tc>
          <w:tcPr>
            <w:tcW w:type="dxa" w:w="4000"/>
            <w:tcMar>
              <w:top w:type="dxa" w:w="80"/>
              <w:left w:type="dxa" w:w="110"/>
              <w:bottom w:type="dxa" w:w="80"/>
              <w:right w:type="dxa" w:w="110"/>
            </w:tcMar>
          </w:tcPr>
          <w:p>
            <w:pPr>
              <w:spacing w:after="40" w:before="40" w:line="260"/>
            </w:pPr>
            <w:r>
              <w:rPr>
                <w:b w:val="false"/>
                <w:bCs w:val="false"/>
                <w:sz w:val="18"/>
                <w:szCs w:val="18"/>
              </w:rPr>
              <w:t xml:space="preserve">Community publication thresholds of n ≥ 10 and n &lt; 30 stand.</w:t>
            </w:r>
          </w:p>
        </w:tc>
        <w:tc>
          <w:tcPr>
            <w:tcW w:type="dxa" w:w="4120"/>
            <w:tcMar>
              <w:top w:type="dxa" w:w="80"/>
              <w:left w:type="dxa" w:w="110"/>
              <w:bottom w:type="dxa" w:w="80"/>
              <w:right w:type="dxa" w:w="110"/>
            </w:tcMar>
          </w:tcPr>
          <w:p>
            <w:pPr>
              <w:spacing w:after="40" w:before="40" w:line="260"/>
            </w:pPr>
            <w:r>
              <w:rPr>
                <w:b w:val="false"/>
                <w:bCs w:val="false"/>
                <w:sz w:val="18"/>
                <w:szCs w:val="18"/>
              </w:rPr>
              <w:t xml:space="preserve">No change to FR-5.7.</w:t>
            </w:r>
          </w:p>
        </w:tc>
      </w:tr>
      <w:tr>
        <w:tc>
          <w:tcPr>
            <w:tcW w:type="dxa" w:w="900"/>
            <w:shd w:fill="F2F5F4" w:val="clear"/>
            <w:tcMar>
              <w:top w:type="dxa" w:w="80"/>
              <w:left w:type="dxa" w:w="110"/>
              <w:bottom w:type="dxa" w:w="80"/>
              <w:right w:type="dxa" w:w="110"/>
            </w:tcMar>
          </w:tcPr>
          <w:p>
            <w:pPr>
              <w:spacing w:after="40" w:before="40" w:line="260"/>
            </w:pPr>
            <w:r>
              <w:rPr>
                <w:b/>
                <w:bCs/>
                <w:sz w:val="18"/>
                <w:szCs w:val="18"/>
              </w:rPr>
              <w:t xml:space="preserve">F2</w:t>
            </w:r>
          </w:p>
        </w:tc>
        <w:tc>
          <w:tcPr>
            <w:tcW w:type="dxa" w:w="4000"/>
            <w:shd w:fill="F2F5F4" w:val="clear"/>
            <w:tcMar>
              <w:top w:type="dxa" w:w="80"/>
              <w:left w:type="dxa" w:w="110"/>
              <w:bottom w:type="dxa" w:w="80"/>
              <w:right w:type="dxa" w:w="110"/>
            </w:tcMar>
          </w:tcPr>
          <w:p>
            <w:pPr>
              <w:spacing w:after="40" w:before="40" w:line="260"/>
            </w:pPr>
            <w:r>
              <w:rPr>
                <w:b w:val="false"/>
                <w:bCs w:val="false"/>
                <w:sz w:val="18"/>
                <w:szCs w:val="18"/>
              </w:rPr>
              <w:t xml:space="preserve">One rating per contributor per division per sector × hazard × period. The key stands.</w:t>
            </w:r>
          </w:p>
        </w:tc>
        <w:tc>
          <w:tcPr>
            <w:tcW w:type="dxa" w:w="4120"/>
            <w:shd w:fill="F2F5F4" w:val="clear"/>
            <w:tcMar>
              <w:top w:type="dxa" w:w="80"/>
              <w:left w:type="dxa" w:w="110"/>
              <w:bottom w:type="dxa" w:w="80"/>
              <w:right w:type="dxa" w:w="110"/>
            </w:tcMar>
          </w:tcPr>
          <w:p>
            <w:pPr>
              <w:spacing w:after="40" w:before="40" w:line="260"/>
            </w:pPr>
            <w:r>
              <w:rPr>
                <w:b w:val="false"/>
                <w:bCs w:val="false"/>
                <w:sz w:val="18"/>
                <w:szCs w:val="18"/>
              </w:rPr>
              <w:t xml:space="preserve">No change to FR-5.7b, subject to the GN-level question in Part 3.</w:t>
            </w:r>
          </w:p>
        </w:tc>
      </w:tr>
    </w:tbl>
    <w:p>
      <w:pPr>
        <w:pageBreakBefore/>
      </w:pPr>
    </w:p>
    <w:p>
      <w:pPr>
        <w:pStyle w:val="Heading1"/>
      </w:pPr>
      <w:r>
        <w:t xml:space="preserve">Part 2 — Four revisions</w:t>
      </w:r>
    </w:p>
    <w:p>
      <w:pPr>
        <w:spacing w:after="120" w:line="276"/>
      </w:pPr>
      <w:r>
        <w:t xml:space="preserve">Each of these answers is defensible on its own. Each collides with a different decision the panel also took. The revisions below resolve the collisions while keeping what the panel actually intended.</w:t>
      </w:r>
    </w:p>
    <w:p>
      <w:pPr>
        <w:pStyle w:val="Heading3"/>
      </w:pPr>
      <w:r>
        <w:t xml:space="preserve">R1 — A1: use √(H × E) rather than the raw product</w:t>
      </w:r>
    </w:p>
    <w:p>
      <w:pPr>
        <w:spacing w:after="60" w:before="140"/>
      </w:pPr>
      <w:r>
        <w:rPr>
          <w:b/>
          <w:bCs/>
          <w:caps/>
          <w:color w:val="1C3F35"/>
          <w:sz w:val="19"/>
          <w:szCs w:val="19"/>
        </w:rPr>
        <w:t xml:space="preserve">What the panel decided</w:t>
      </w:r>
    </w:p>
    <w:p>
      <w:pPr>
        <w:spacing w:after="120" w:line="276"/>
      </w:pPr>
      <w:r>
        <w:t xml:space="preserve">Vulnerability is the product of hazard and exposure. The worked examples in the sample sheet confirm it: 0.5 × 0.8 gives 0.4, and 0.2 × 0.71 gives 0.14.</w:t>
      </w:r>
    </w:p>
    <w:p>
      <w:pPr>
        <w:spacing w:after="60" w:before="140"/>
      </w:pPr>
      <w:r>
        <w:rPr>
          <w:b/>
          <w:bCs/>
          <w:caps/>
          <w:color w:val="1C3F35"/>
          <w:sz w:val="19"/>
          <w:szCs w:val="19"/>
        </w:rPr>
        <w:t xml:space="preserve">The collision</w:t>
      </w:r>
    </w:p>
    <w:p>
      <w:pPr>
        <w:spacing w:after="120" w:line="276"/>
      </w:pPr>
      <w:r>
        <w:t xml:space="preserve">SRS §2.6 rejects the raw product for one stated reason — it compresses results toward zero, placing 78% of divisions in the lowest band and none in the highest. The panel accepted that argument for risk at E1, choosing the cube root. The same argument applies to vulnerability and reaches the opposite conclusion in the same document.</w:t>
      </w:r>
    </w:p>
    <w:p>
      <w:pPr>
        <w:spacing w:after="120" w:line="276"/>
      </w:pPr>
      <w:r>
        <w:t xml:space="preserve">With the panel's own band thresholds at 0.2 / 0.4 / 0.6 / 0.8, the product yields:</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2400"/>
        <w:gridCol w:w="2200"/>
        <w:gridCol w:w="2200"/>
        <w:gridCol w:w="2220"/>
      </w:tblGrid>
      <w:tr>
        <w:trPr>
          <w:tblHeader/>
        </w:trPr>
        <w:tc>
          <w:tcPr>
            <w:tcW w:type="dxa" w:w="2400"/>
            <w:shd w:fill="1C3F35" w:val="clear"/>
            <w:tcMar>
              <w:top w:type="dxa" w:w="80"/>
              <w:left w:type="dxa" w:w="110"/>
              <w:bottom w:type="dxa" w:w="80"/>
              <w:right w:type="dxa" w:w="110"/>
            </w:tcMar>
          </w:tcPr>
          <w:p>
            <w:pPr>
              <w:spacing w:after="40" w:before="40" w:line="260"/>
            </w:pPr>
            <w:r>
              <w:rPr>
                <w:b/>
                <w:bCs/>
                <w:color w:val="FFFFFF"/>
                <w:sz w:val="19"/>
                <w:szCs w:val="19"/>
              </w:rPr>
              <w:t xml:space="preserve">Band</w:t>
            </w:r>
          </w:p>
        </w:tc>
        <w:tc>
          <w:tcPr>
            <w:tcW w:type="dxa" w:w="2200"/>
            <w:shd w:fill="1C3F35" w:val="clear"/>
            <w:tcMar>
              <w:top w:type="dxa" w:w="80"/>
              <w:left w:type="dxa" w:w="110"/>
              <w:bottom w:type="dxa" w:w="80"/>
              <w:right w:type="dxa" w:w="110"/>
            </w:tcMar>
          </w:tcPr>
          <w:p>
            <w:pPr>
              <w:spacing w:after="40" w:before="40" w:line="260"/>
            </w:pPr>
            <w:r>
              <w:rPr>
                <w:b/>
                <w:bCs/>
                <w:color w:val="FFFFFF"/>
                <w:sz w:val="19"/>
                <w:szCs w:val="19"/>
              </w:rPr>
              <w:t xml:space="preserve">H × E</w:t>
            </w:r>
          </w:p>
        </w:tc>
        <w:tc>
          <w:tcPr>
            <w:tcW w:type="dxa" w:w="2200"/>
            <w:shd w:fill="1C3F35" w:val="clear"/>
            <w:tcMar>
              <w:top w:type="dxa" w:w="80"/>
              <w:left w:type="dxa" w:w="110"/>
              <w:bottom w:type="dxa" w:w="80"/>
              <w:right w:type="dxa" w:w="110"/>
            </w:tcMar>
          </w:tcPr>
          <w:p>
            <w:pPr>
              <w:spacing w:after="40" w:before="40" w:line="260"/>
            </w:pPr>
            <w:r>
              <w:rPr>
                <w:b/>
                <w:bCs/>
                <w:color w:val="FFFFFF"/>
                <w:sz w:val="19"/>
                <w:szCs w:val="19"/>
              </w:rPr>
              <w:t xml:space="preserve">√(H × E)</w:t>
            </w:r>
          </w:p>
        </w:tc>
        <w:tc>
          <w:tcPr>
            <w:tcW w:type="dxa" w:w="2220"/>
            <w:shd w:fill="1C3F35" w:val="clear"/>
            <w:tcMar>
              <w:top w:type="dxa" w:w="80"/>
              <w:left w:type="dxa" w:w="110"/>
              <w:bottom w:type="dxa" w:w="80"/>
              <w:right w:type="dxa" w:w="110"/>
            </w:tcMar>
          </w:tcPr>
          <w:p>
            <w:pPr>
              <w:spacing w:after="40" w:before="40" w:line="260"/>
            </w:pPr>
            <w:r>
              <w:rPr>
                <w:b/>
                <w:bCs/>
                <w:color w:val="FFFFFF"/>
                <w:sz w:val="19"/>
                <w:szCs w:val="19"/>
              </w:rPr>
              <w:t xml:space="preserve">Difference</w:t>
            </w:r>
          </w:p>
        </w:tc>
      </w:tr>
      <w:tr>
        <w:tc>
          <w:tcPr>
            <w:tcW w:type="dxa" w:w="2400"/>
            <w:tcMar>
              <w:top w:type="dxa" w:w="80"/>
              <w:left w:type="dxa" w:w="110"/>
              <w:bottom w:type="dxa" w:w="80"/>
              <w:right w:type="dxa" w:w="110"/>
            </w:tcMar>
          </w:tcPr>
          <w:p>
            <w:pPr>
              <w:spacing w:after="40" w:before="40" w:line="260"/>
            </w:pPr>
            <w:r>
              <w:rPr>
                <w:b/>
                <w:bCs/>
                <w:sz w:val="19"/>
                <w:szCs w:val="19"/>
              </w:rPr>
              <w:t xml:space="preserve">Very low</w:t>
            </w:r>
          </w:p>
        </w:tc>
        <w:tc>
          <w:tcPr>
            <w:tcW w:type="dxa" w:w="2200"/>
            <w:tcMar>
              <w:top w:type="dxa" w:w="80"/>
              <w:left w:type="dxa" w:w="110"/>
              <w:bottom w:type="dxa" w:w="80"/>
              <w:right w:type="dxa" w:w="110"/>
            </w:tcMar>
          </w:tcPr>
          <w:p>
            <w:pPr>
              <w:spacing w:after="40" w:before="40" w:line="260"/>
            </w:pPr>
            <w:r>
              <w:rPr>
                <w:b w:val="false"/>
                <w:bCs w:val="false"/>
                <w:sz w:val="19"/>
                <w:szCs w:val="19"/>
              </w:rPr>
              <w:t xml:space="preserve">52.2%</w:t>
            </w:r>
          </w:p>
        </w:tc>
        <w:tc>
          <w:tcPr>
            <w:tcW w:type="dxa" w:w="2200"/>
            <w:tcMar>
              <w:top w:type="dxa" w:w="80"/>
              <w:left w:type="dxa" w:w="110"/>
              <w:bottom w:type="dxa" w:w="80"/>
              <w:right w:type="dxa" w:w="110"/>
            </w:tcMar>
          </w:tcPr>
          <w:p>
            <w:pPr>
              <w:spacing w:after="40" w:before="40" w:line="260"/>
            </w:pPr>
            <w:r>
              <w:rPr>
                <w:b w:val="false"/>
                <w:bCs w:val="false"/>
                <w:sz w:val="19"/>
                <w:szCs w:val="19"/>
              </w:rPr>
              <w:t xml:space="preserve">16.9%</w:t>
            </w:r>
          </w:p>
        </w:tc>
        <w:tc>
          <w:tcPr>
            <w:tcW w:type="dxa" w:w="2220"/>
            <w:tcMar>
              <w:top w:type="dxa" w:w="80"/>
              <w:left w:type="dxa" w:w="110"/>
              <w:bottom w:type="dxa" w:w="80"/>
              <w:right w:type="dxa" w:w="110"/>
            </w:tcMar>
          </w:tcPr>
          <w:p>
            <w:pPr>
              <w:spacing w:after="40" w:before="40" w:line="260"/>
            </w:pPr>
            <w:r>
              <w:rPr>
                <w:b w:val="false"/>
                <w:bCs w:val="false"/>
                <w:sz w:val="19"/>
                <w:szCs w:val="19"/>
              </w:rPr>
              <w:t xml:space="preserve">−35.3</w:t>
            </w:r>
          </w:p>
        </w:tc>
      </w:tr>
      <w:tr>
        <w:tc>
          <w:tcPr>
            <w:tcW w:type="dxa" w:w="2400"/>
            <w:shd w:fill="F2F5F4" w:val="clear"/>
            <w:tcMar>
              <w:top w:type="dxa" w:w="80"/>
              <w:left w:type="dxa" w:w="110"/>
              <w:bottom w:type="dxa" w:w="80"/>
              <w:right w:type="dxa" w:w="110"/>
            </w:tcMar>
          </w:tcPr>
          <w:p>
            <w:pPr>
              <w:spacing w:after="40" w:before="40" w:line="260"/>
            </w:pPr>
            <w:r>
              <w:rPr>
                <w:b/>
                <w:bCs/>
                <w:sz w:val="19"/>
                <w:szCs w:val="19"/>
              </w:rPr>
              <w:t xml:space="preserve">Low</w:t>
            </w:r>
          </w:p>
        </w:tc>
        <w:tc>
          <w:tcPr>
            <w:tcW w:type="dxa" w:w="2200"/>
            <w:shd w:fill="F2F5F4" w:val="clear"/>
            <w:tcMar>
              <w:top w:type="dxa" w:w="80"/>
              <w:left w:type="dxa" w:w="110"/>
              <w:bottom w:type="dxa" w:w="80"/>
              <w:right w:type="dxa" w:w="110"/>
            </w:tcMar>
          </w:tcPr>
          <w:p>
            <w:pPr>
              <w:spacing w:after="40" w:before="40" w:line="260"/>
            </w:pPr>
            <w:r>
              <w:rPr>
                <w:b w:val="false"/>
                <w:bCs w:val="false"/>
                <w:sz w:val="19"/>
                <w:szCs w:val="19"/>
              </w:rPr>
              <w:t xml:space="preserve">24.5%</w:t>
            </w:r>
          </w:p>
        </w:tc>
        <w:tc>
          <w:tcPr>
            <w:tcW w:type="dxa" w:w="2200"/>
            <w:shd w:fill="F2F5F4" w:val="clear"/>
            <w:tcMar>
              <w:top w:type="dxa" w:w="80"/>
              <w:left w:type="dxa" w:w="110"/>
              <w:bottom w:type="dxa" w:w="80"/>
              <w:right w:type="dxa" w:w="110"/>
            </w:tcMar>
          </w:tcPr>
          <w:p>
            <w:pPr>
              <w:spacing w:after="40" w:before="40" w:line="260"/>
            </w:pPr>
            <w:r>
              <w:rPr>
                <w:b w:val="false"/>
                <w:bCs w:val="false"/>
                <w:sz w:val="19"/>
                <w:szCs w:val="19"/>
              </w:rPr>
              <w:t xml:space="preserve">28.4%</w:t>
            </w:r>
          </w:p>
        </w:tc>
        <w:tc>
          <w:tcPr>
            <w:tcW w:type="dxa" w:w="2220"/>
            <w:shd w:fill="F2F5F4" w:val="clear"/>
            <w:tcMar>
              <w:top w:type="dxa" w:w="80"/>
              <w:left w:type="dxa" w:w="110"/>
              <w:bottom w:type="dxa" w:w="80"/>
              <w:right w:type="dxa" w:w="110"/>
            </w:tcMar>
          </w:tcPr>
          <w:p>
            <w:pPr>
              <w:spacing w:after="40" w:before="40" w:line="260"/>
            </w:pPr>
            <w:r>
              <w:rPr>
                <w:b w:val="false"/>
                <w:bCs w:val="false"/>
                <w:sz w:val="19"/>
                <w:szCs w:val="19"/>
              </w:rPr>
              <w:t xml:space="preserve">+3.9</w:t>
            </w:r>
          </w:p>
        </w:tc>
      </w:tr>
      <w:tr>
        <w:tc>
          <w:tcPr>
            <w:tcW w:type="dxa" w:w="2400"/>
            <w:tcMar>
              <w:top w:type="dxa" w:w="80"/>
              <w:left w:type="dxa" w:w="110"/>
              <w:bottom w:type="dxa" w:w="80"/>
              <w:right w:type="dxa" w:w="110"/>
            </w:tcMar>
          </w:tcPr>
          <w:p>
            <w:pPr>
              <w:spacing w:after="40" w:before="40" w:line="260"/>
            </w:pPr>
            <w:r>
              <w:rPr>
                <w:b/>
                <w:bCs/>
                <w:sz w:val="19"/>
                <w:szCs w:val="19"/>
              </w:rPr>
              <w:t xml:space="preserve">Moderate</w:t>
            </w:r>
          </w:p>
        </w:tc>
        <w:tc>
          <w:tcPr>
            <w:tcW w:type="dxa" w:w="2200"/>
            <w:tcMar>
              <w:top w:type="dxa" w:w="80"/>
              <w:left w:type="dxa" w:w="110"/>
              <w:bottom w:type="dxa" w:w="80"/>
              <w:right w:type="dxa" w:w="110"/>
            </w:tcMar>
          </w:tcPr>
          <w:p>
            <w:pPr>
              <w:spacing w:after="40" w:before="40" w:line="260"/>
            </w:pPr>
            <w:r>
              <w:rPr>
                <w:b w:val="false"/>
                <w:bCs w:val="false"/>
                <w:sz w:val="19"/>
                <w:szCs w:val="19"/>
              </w:rPr>
              <w:t xml:space="preserve">14.0%</w:t>
            </w:r>
          </w:p>
        </w:tc>
        <w:tc>
          <w:tcPr>
            <w:tcW w:type="dxa" w:w="2200"/>
            <w:tcMar>
              <w:top w:type="dxa" w:w="80"/>
              <w:left w:type="dxa" w:w="110"/>
              <w:bottom w:type="dxa" w:w="80"/>
              <w:right w:type="dxa" w:w="110"/>
            </w:tcMar>
          </w:tcPr>
          <w:p>
            <w:pPr>
              <w:spacing w:after="40" w:before="40" w:line="260"/>
            </w:pPr>
            <w:r>
              <w:rPr>
                <w:b w:val="false"/>
                <w:bCs w:val="false"/>
                <w:sz w:val="19"/>
                <w:szCs w:val="19"/>
              </w:rPr>
              <w:t xml:space="preserve">27.5%</w:t>
            </w:r>
          </w:p>
        </w:tc>
        <w:tc>
          <w:tcPr>
            <w:tcW w:type="dxa" w:w="2220"/>
            <w:tcMar>
              <w:top w:type="dxa" w:w="80"/>
              <w:left w:type="dxa" w:w="110"/>
              <w:bottom w:type="dxa" w:w="80"/>
              <w:right w:type="dxa" w:w="110"/>
            </w:tcMar>
          </w:tcPr>
          <w:p>
            <w:pPr>
              <w:spacing w:after="40" w:before="40" w:line="260"/>
            </w:pPr>
            <w:r>
              <w:rPr>
                <w:b w:val="false"/>
                <w:bCs w:val="false"/>
                <w:sz w:val="19"/>
                <w:szCs w:val="19"/>
              </w:rPr>
              <w:t xml:space="preserve">+13.5</w:t>
            </w:r>
          </w:p>
        </w:tc>
      </w:tr>
      <w:tr>
        <w:tc>
          <w:tcPr>
            <w:tcW w:type="dxa" w:w="2400"/>
            <w:shd w:fill="F2F5F4" w:val="clear"/>
            <w:tcMar>
              <w:top w:type="dxa" w:w="80"/>
              <w:left w:type="dxa" w:w="110"/>
              <w:bottom w:type="dxa" w:w="80"/>
              <w:right w:type="dxa" w:w="110"/>
            </w:tcMar>
          </w:tcPr>
          <w:p>
            <w:pPr>
              <w:spacing w:after="40" w:before="40" w:line="260"/>
            </w:pPr>
            <w:r>
              <w:rPr>
                <w:b/>
                <w:bCs/>
                <w:sz w:val="19"/>
                <w:szCs w:val="19"/>
              </w:rPr>
              <w:t xml:space="preserve">High</w:t>
            </w:r>
          </w:p>
        </w:tc>
        <w:tc>
          <w:tcPr>
            <w:tcW w:type="dxa" w:w="2200"/>
            <w:shd w:fill="F2F5F4" w:val="clear"/>
            <w:tcMar>
              <w:top w:type="dxa" w:w="80"/>
              <w:left w:type="dxa" w:w="110"/>
              <w:bottom w:type="dxa" w:w="80"/>
              <w:right w:type="dxa" w:w="110"/>
            </w:tcMar>
          </w:tcPr>
          <w:p>
            <w:pPr>
              <w:spacing w:after="40" w:before="40" w:line="260"/>
            </w:pPr>
            <w:r>
              <w:rPr>
                <w:b w:val="false"/>
                <w:bCs w:val="false"/>
                <w:sz w:val="19"/>
                <w:szCs w:val="19"/>
              </w:rPr>
              <w:t xml:space="preserve">7.2%</w:t>
            </w:r>
          </w:p>
        </w:tc>
        <w:tc>
          <w:tcPr>
            <w:tcW w:type="dxa" w:w="2200"/>
            <w:shd w:fill="F2F5F4" w:val="clear"/>
            <w:tcMar>
              <w:top w:type="dxa" w:w="80"/>
              <w:left w:type="dxa" w:w="110"/>
              <w:bottom w:type="dxa" w:w="80"/>
              <w:right w:type="dxa" w:w="110"/>
            </w:tcMar>
          </w:tcPr>
          <w:p>
            <w:pPr>
              <w:spacing w:after="40" w:before="40" w:line="260"/>
            </w:pPr>
            <w:r>
              <w:rPr>
                <w:b w:val="false"/>
                <w:bCs w:val="false"/>
                <w:sz w:val="19"/>
                <w:szCs w:val="19"/>
              </w:rPr>
              <w:t xml:space="preserve">19.8%</w:t>
            </w:r>
          </w:p>
        </w:tc>
        <w:tc>
          <w:tcPr>
            <w:tcW w:type="dxa" w:w="2220"/>
            <w:shd w:fill="F2F5F4" w:val="clear"/>
            <w:tcMar>
              <w:top w:type="dxa" w:w="80"/>
              <w:left w:type="dxa" w:w="110"/>
              <w:bottom w:type="dxa" w:w="80"/>
              <w:right w:type="dxa" w:w="110"/>
            </w:tcMar>
          </w:tcPr>
          <w:p>
            <w:pPr>
              <w:spacing w:after="40" w:before="40" w:line="260"/>
            </w:pPr>
            <w:r>
              <w:rPr>
                <w:b w:val="false"/>
                <w:bCs w:val="false"/>
                <w:sz w:val="19"/>
                <w:szCs w:val="19"/>
              </w:rPr>
              <w:t xml:space="preserve">+12.6</w:t>
            </w:r>
          </w:p>
        </w:tc>
      </w:tr>
      <w:tr>
        <w:tc>
          <w:tcPr>
            <w:tcW w:type="dxa" w:w="2400"/>
            <w:tcMar>
              <w:top w:type="dxa" w:w="80"/>
              <w:left w:type="dxa" w:w="110"/>
              <w:bottom w:type="dxa" w:w="80"/>
              <w:right w:type="dxa" w:w="110"/>
            </w:tcMar>
          </w:tcPr>
          <w:p>
            <w:pPr>
              <w:spacing w:after="40" w:before="40" w:line="260"/>
            </w:pPr>
            <w:r>
              <w:rPr>
                <w:b/>
                <w:bCs/>
                <w:sz w:val="19"/>
                <w:szCs w:val="19"/>
              </w:rPr>
              <w:t xml:space="preserve">Very high</w:t>
            </w:r>
          </w:p>
        </w:tc>
        <w:tc>
          <w:tcPr>
            <w:tcW w:type="dxa" w:w="2200"/>
            <w:tcMar>
              <w:top w:type="dxa" w:w="80"/>
              <w:left w:type="dxa" w:w="110"/>
              <w:bottom w:type="dxa" w:w="80"/>
              <w:right w:type="dxa" w:w="110"/>
            </w:tcMar>
          </w:tcPr>
          <w:p>
            <w:pPr>
              <w:spacing w:after="40" w:before="40" w:line="260"/>
            </w:pPr>
            <w:r>
              <w:rPr>
                <w:b w:val="false"/>
                <w:bCs w:val="false"/>
                <w:sz w:val="19"/>
                <w:szCs w:val="19"/>
              </w:rPr>
              <w:t xml:space="preserve">2.1%</w:t>
            </w:r>
          </w:p>
        </w:tc>
        <w:tc>
          <w:tcPr>
            <w:tcW w:type="dxa" w:w="2200"/>
            <w:tcMar>
              <w:top w:type="dxa" w:w="80"/>
              <w:left w:type="dxa" w:w="110"/>
              <w:bottom w:type="dxa" w:w="80"/>
              <w:right w:type="dxa" w:w="110"/>
            </w:tcMar>
          </w:tcPr>
          <w:p>
            <w:pPr>
              <w:spacing w:after="40" w:before="40" w:line="260"/>
            </w:pPr>
            <w:r>
              <w:rPr>
                <w:b w:val="false"/>
                <w:bCs w:val="false"/>
                <w:sz w:val="19"/>
                <w:szCs w:val="19"/>
              </w:rPr>
              <w:t xml:space="preserve">7.4%</w:t>
            </w:r>
          </w:p>
        </w:tc>
        <w:tc>
          <w:tcPr>
            <w:tcW w:type="dxa" w:w="2220"/>
            <w:tcMar>
              <w:top w:type="dxa" w:w="80"/>
              <w:left w:type="dxa" w:w="110"/>
              <w:bottom w:type="dxa" w:w="80"/>
              <w:right w:type="dxa" w:w="110"/>
            </w:tcMar>
          </w:tcPr>
          <w:p>
            <w:pPr>
              <w:spacing w:after="40" w:before="40" w:line="260"/>
            </w:pPr>
            <w:r>
              <w:rPr>
                <w:b w:val="false"/>
                <w:bCs w:val="false"/>
                <w:sz w:val="19"/>
                <w:szCs w:val="19"/>
              </w:rPr>
              <w:t xml:space="preserve">+5.3</w:t>
            </w:r>
          </w:p>
        </w:tc>
      </w:tr>
    </w:tbl>
    <w:p>
      <w:pPr>
        <w:spacing w:after="120" w:line="276"/>
      </w:pPr>
      <w:r>
        <w:rPr>
          <w:i/>
          <w:iCs/>
          <w:color w:val="5A6663"/>
          <w:sz w:val="18"/>
          <w:szCs w:val="18"/>
        </w:rPr>
        <w:t xml:space="preserve">Indicative, assuming hazard and exposure spread evenly across [0, 1], which min-max approximately produces. To be re-tested against real values once weights exist.</w:t>
      </w:r>
    </w:p>
    <w:p>
      <w:pPr>
        <w:spacing w:after="60" w:before="140"/>
      </w:pPr>
      <w:r>
        <w:rPr>
          <w:b/>
          <w:bCs/>
          <w:caps/>
          <w:color w:val="1C3F35"/>
          <w:sz w:val="19"/>
          <w:szCs w:val="19"/>
        </w:rPr>
        <w:t xml:space="preserve">The revision</w:t>
      </w:r>
    </w:p>
    <w:p>
      <w:pPr>
        <w:spacing w:after="120" w:line="276"/>
      </w:pPr>
      <w:r>
        <w:t xml:space="preserve">Use the geometric mean. It preserves everything the panel chose the product for — zero hazard still yields zero vulnerability, and neither term can compensate for the other — while spreading results across the colour spectrum without a second rescaling step. The ordering of divisions is identical to the product, because the square root is monotonic; only the spacing changes.</w:t>
      </w:r>
    </w:p>
    <w:p>
      <w:pPr>
        <w:spacing w:after="120" w:before="60"/>
        <w:ind w:left="340"/>
      </w:pPr>
      <w:r>
        <w:rPr>
          <w:rFonts w:ascii="Consolas" w:cs="Consolas" w:eastAsia="Consolas" w:hAnsi="Consolas"/>
          <w:color w:val="333333"/>
          <w:sz w:val="18"/>
          <w:szCs w:val="18"/>
        </w:rPr>
        <w:t xml:space="preserve">Vulnerability(d, s, h)  =  √( Hazard(d,h) × Exposure(d,s,h) )</w:t>
      </w:r>
    </w:p>
    <w:p>
      <w:pPr>
        <w:spacing w:after="120" w:line="276"/>
      </w:pPr>
      <w:r>
        <w:t xml:space="preserve">This also makes the document internally consistent: the same correction §2.6 already applies to the three-term risk index, applied to the two-term vulnerability index.</w:t>
      </w:r>
    </w:p>
    <w:p>
      <w:pPr>
        <w:spacing w:after="160"/>
      </w:pPr>
    </w:p>
    <w:tbl>
      <w:tblPr>
        <w:tblW w:type="dxa" w:w="9020"/>
        <w:tblBorders>
          <w:top w:val="single" w:color="9A6B12" w:sz="6"/>
          <w:left w:val="single" w:color="9A6B12" w:sz="6"/>
          <w:bottom w:val="single" w:color="9A6B12" w:sz="6"/>
          <w:right w:val="single" w:color="9A6B12" w:sz="6"/>
          <w:insideH w:val="none"/>
          <w:insideV w:val="none"/>
        </w:tblBorders>
      </w:tblPr>
      <w:tblGrid>
        <w:gridCol w:w="9020"/>
      </w:tblGrid>
      <w:tr>
        <w:tc>
          <w:tcPr>
            <w:tcW w:type="dxa" w:w="9020"/>
            <w:shd w:fill="F2F5F4" w:val="clear"/>
            <w:tcMar>
              <w:top w:type="dxa" w:w="130"/>
              <w:left w:type="dxa" w:w="150"/>
              <w:bottom w:type="dxa" w:w="130"/>
              <w:right w:type="dxa" w:w="150"/>
            </w:tcMar>
          </w:tcPr>
          <w:p>
            <w:pPr>
              <w:spacing w:after="70"/>
            </w:pPr>
            <w:r>
              <w:rPr>
                <w:b/>
                <w:bCs/>
                <w:caps/>
                <w:color w:val="9A6B12"/>
                <w:sz w:val="19"/>
                <w:szCs w:val="19"/>
              </w:rPr>
              <w:t xml:space="preserve">WHY NOT RENORMALISE THE PRODUCT INSTEAD</w:t>
            </w:r>
          </w:p>
          <w:p>
            <w:pPr>
              <w:spacing w:after="70" w:line="270"/>
            </w:pPr>
            <w:r>
              <w:rPr>
                <w:sz w:val="19"/>
                <w:szCs w:val="19"/>
              </w:rPr>
              <w:t xml:space="preserve">Renormalising H × E across divisions also fills the colour spectrum, but it makes the score purely relative: the most vulnerable division becomes 1.0 by construction in every profile, so the top band is never empty and no one can ever say that no division is in it.</w:t>
            </w:r>
          </w:p>
          <w:p>
            <w:pPr>
              <w:spacing w:after="70" w:line="270"/>
            </w:pPr>
            <w:r>
              <w:rPr>
                <w:sz w:val="19"/>
                <w:szCs w:val="19"/>
              </w:rPr>
              <w:t xml:space="preserve">It also breaks comparison between profiles — 0.9 in Paddy–Drought and 0.9 in Tourism–Flood would each mean "worst in its own set" — and over time, since a division's score moves when other divisions' data arrives.</w:t>
            </w:r>
          </w:p>
          <w:p>
            <w:pPr>
              <w:spacing w:after="0" w:line="270"/>
            </w:pPr>
            <w:r>
              <w:rPr>
                <w:sz w:val="19"/>
                <w:szCs w:val="19"/>
              </w:rPr>
              <w:t xml:space="preserve">The square root achieves the same spread as a fixed transform, so the score stays absolute.</w:t>
            </w:r>
          </w:p>
        </w:tc>
      </w:tr>
    </w:tbl>
    <w:p>
      <w:pPr>
        <w:spacing w:after="160"/>
      </w:pPr>
    </w:p>
    <w:p>
      <w:pPr>
        <w:pStyle w:val="Heading3"/>
      </w:pPr>
      <w:r>
        <w:t xml:space="preserve">R2 — A2: normalisation bounds computed nationally, not provincially</w:t>
      </w:r>
    </w:p>
    <w:p>
      <w:pPr>
        <w:spacing w:after="60" w:before="140"/>
      </w:pPr>
      <w:r>
        <w:rPr>
          <w:b/>
          <w:bCs/>
          <w:caps/>
          <w:color w:val="1C3F35"/>
          <w:sz w:val="19"/>
          <w:szCs w:val="19"/>
        </w:rPr>
        <w:t xml:space="preserve">What the panel decided</w:t>
      </w:r>
    </w:p>
    <w:p>
      <w:pPr>
        <w:spacing w:after="120" w:line="276"/>
      </w:pPr>
      <w:r>
        <w:t xml:space="preserve">Min-max normalisation, pooled across periods, for all 174 variables. Separately, the owner has proposed a single national colour scale so that scores are readable across the whole country.</w:t>
      </w:r>
    </w:p>
    <w:p>
      <w:pPr>
        <w:spacing w:after="60" w:before="140"/>
      </w:pPr>
      <w:r>
        <w:rPr>
          <w:b/>
          <w:bCs/>
          <w:caps/>
          <w:color w:val="1C3F35"/>
          <w:sz w:val="19"/>
          <w:szCs w:val="19"/>
        </w:rPr>
        <w:t xml:space="preserve">The collision</w:t>
      </w:r>
    </w:p>
    <w:p>
      <w:pPr>
        <w:spacing w:after="120" w:line="276"/>
      </w:pPr>
      <w:r>
        <w:t xml:space="preserve">SRS v1.3 never states the geographic set over which the minimum and maximum are computed. The norm_scope setting governs time only — pooled across periods, per period, or fixed bounds. The only indication points to the province: FR-4.9 speaks of "a partially entered province" and "a profile's divisions", and a profile is province-scoped. The panel's A3 answer, holding until every division in the province is entered, only makes sense if the bounds are provincial.</w:t>
      </w:r>
    </w:p>
    <w:p>
      <w:pPr>
        <w:spacing w:after="120" w:line="276"/>
      </w:pPr>
      <w:r>
        <w:t xml:space="preserve">If bounds are provincial and the colour scale is national, the map paints provincially-relative numbers with a national palette. That presents scores as comparable when they are not, which is a worse outcome than the current inconsistency because the reader has no way to detect it.</w:t>
      </w:r>
    </w:p>
    <w:p>
      <w:pPr>
        <w:spacing w:after="60" w:before="140"/>
      </w:pPr>
      <w:r>
        <w:rPr>
          <w:b/>
          <w:bCs/>
          <w:caps/>
          <w:color w:val="1C3F35"/>
          <w:sz w:val="19"/>
          <w:szCs w:val="19"/>
        </w:rPr>
        <w:t xml:space="preserve">The revision</w:t>
      </w:r>
    </w:p>
    <w:p>
      <w:pPr>
        <w:spacing w:after="120" w:line="276"/>
      </w:pPr>
      <w:r>
        <w:t xml:space="preserve">Normalisation bounds are computed across all 330 DS divisions nationally. A new requirement states this, because the specification currently leaves it to be inferred:</w:t>
      </w:r>
    </w:p>
    <w:p>
      <w:pPr>
        <w:spacing w:after="160"/>
      </w:pPr>
    </w:p>
    <w:tbl>
      <w:tblPr>
        <w:tblW w:type="dxa" w:w="9020"/>
        <w:tblBorders>
          <w:top w:val="single" w:color="1E6E4B" w:sz="6"/>
          <w:left w:val="single" w:color="1E6E4B" w:sz="6"/>
          <w:bottom w:val="single" w:color="1E6E4B" w:sz="6"/>
          <w:right w:val="single" w:color="1E6E4B" w:sz="6"/>
          <w:insideH w:val="none"/>
          <w:insideV w:val="none"/>
        </w:tblBorders>
      </w:tblPr>
      <w:tblGrid>
        <w:gridCol w:w="9020"/>
      </w:tblGrid>
      <w:tr>
        <w:tc>
          <w:tcPr>
            <w:tcW w:type="dxa" w:w="9020"/>
            <w:shd w:fill="F2F5F4" w:val="clear"/>
            <w:tcMar>
              <w:top w:type="dxa" w:w="130"/>
              <w:left w:type="dxa" w:w="150"/>
              <w:bottom w:type="dxa" w:w="130"/>
              <w:right w:type="dxa" w:w="150"/>
            </w:tcMar>
          </w:tcPr>
          <w:p>
            <w:pPr>
              <w:spacing w:after="70"/>
            </w:pPr>
            <w:r>
              <w:rPr>
                <w:b/>
                <w:bCs/>
                <w:caps/>
                <w:color w:val="1E6E4B"/>
                <w:sz w:val="19"/>
                <w:szCs w:val="19"/>
              </w:rPr>
              <w:t xml:space="preserve">PROPOSED FR-4.3B</w:t>
            </w:r>
          </w:p>
          <w:p>
            <w:pPr>
              <w:spacing w:after="0" w:line="270"/>
            </w:pPr>
            <w:r>
              <w:rPr>
                <w:sz w:val="19"/>
                <w:szCs w:val="19"/>
              </w:rPr>
              <w:t xml:space="preserve">Normalisation bounds shall be computed across all DS divisions nationally, not within the province of the profile being computed, so that scores originating in different provinces lie on one scale. Where a variable is configured for fixed bounds, those bounds shall apply nationally.</w:t>
            </w:r>
          </w:p>
        </w:tc>
      </w:tr>
    </w:tbl>
    <w:p>
      <w:pPr>
        <w:spacing w:after="160"/>
      </w:pPr>
    </w:p>
    <w:p>
      <w:pPr>
        <w:spacing w:after="120" w:line="276"/>
      </w:pPr>
      <w:r>
        <w:t xml:space="preserve">Provincial weights are unaffected and are retained. The variation the panel wants to express stays in the weights, where it is stored, versioned and decomposable; the measurement scale becomes common, where relativity serves no purpose.</w:t>
      </w:r>
    </w:p>
    <w:p>
      <w:pPr>
        <w:spacing w:after="160"/>
      </w:pPr>
    </w:p>
    <w:p>
      <w:pPr>
        <w:pStyle w:val="Heading3"/>
      </w:pPr>
      <w:r>
        <w:t xml:space="preserve">R3 — A3: fixed bounds rather than holding computation</w:t>
      </w:r>
    </w:p>
    <w:p>
      <w:pPr>
        <w:spacing w:after="60" w:before="140"/>
      </w:pPr>
      <w:r>
        <w:rPr>
          <w:b/>
          <w:bCs/>
          <w:caps/>
          <w:color w:val="1C3F35"/>
          <w:sz w:val="19"/>
          <w:szCs w:val="19"/>
        </w:rPr>
        <w:t xml:space="preserve">What the panel decided</w:t>
      </w:r>
    </w:p>
    <w:p>
      <w:pPr>
        <w:spacing w:after="120" w:line="276"/>
      </w:pPr>
      <w:r>
        <w:t xml:space="preserve">No score is computed for a profile until every division in its province has a value.</w:t>
      </w:r>
    </w:p>
    <w:p>
      <w:pPr>
        <w:spacing w:after="60" w:before="140"/>
      </w:pPr>
      <w:r>
        <w:rPr>
          <w:b/>
          <w:bCs/>
          <w:caps/>
          <w:color w:val="1C3F35"/>
          <w:sz w:val="19"/>
          <w:szCs w:val="19"/>
        </w:rPr>
        <w:t xml:space="preserve">The collision</w:t>
      </w:r>
    </w:p>
    <w:p>
      <w:pPr>
        <w:spacing w:after="120" w:line="276"/>
      </w:pPr>
      <w:r>
        <w:t xml:space="preserve">Under R2 the bounds are national, so completing a province is no longer sufficient — the minimum and maximum still move when the next province is entered. Holding until all 330 divisions are complete would satisfy the rule but would mean nothing publishes until national collection finishes.</w:t>
      </w:r>
    </w:p>
    <w:p>
      <w:pPr>
        <w:spacing w:after="60" w:before="140"/>
      </w:pPr>
      <w:r>
        <w:rPr>
          <w:b/>
          <w:bCs/>
          <w:caps/>
          <w:color w:val="1C3F35"/>
          <w:sz w:val="19"/>
          <w:szCs w:val="19"/>
        </w:rPr>
        <w:t xml:space="preserve">The revision</w:t>
      </w:r>
    </w:p>
    <w:p>
      <w:pPr>
        <w:spacing w:after="120" w:line="276"/>
      </w:pPr>
      <w:r>
        <w:t xml:space="preserve">Use fixed bounds wherever bounds can be stated, and hold only for the remainder. This preserves the panel's intent — no published figure shifts because of what arrives later — while allowing results to publish as they become available. It also makes NFR-2 reproducibility trivially satisfied, since the bounds no longer depend on which rows are present.</w:t>
      </w:r>
    </w:p>
    <w:p>
      <w:pPr>
        <w:spacing w:after="120" w:line="276"/>
      </w:pPr>
      <w:r>
        <w:t xml:space="preserve">Of the 174 variables, 40 need no judgement at all:</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2900"/>
        <w:gridCol w:w="1500"/>
        <w:gridCol w:w="4620"/>
      </w:tblGrid>
      <w:tr>
        <w:trPr>
          <w:tblHeader/>
        </w:trPr>
        <w:tc>
          <w:tcPr>
            <w:tcW w:type="dxa" w:w="2900"/>
            <w:shd w:fill="1C3F35" w:val="clear"/>
            <w:tcMar>
              <w:top w:type="dxa" w:w="80"/>
              <w:left w:type="dxa" w:w="110"/>
              <w:bottom w:type="dxa" w:w="80"/>
              <w:right w:type="dxa" w:w="110"/>
            </w:tcMar>
          </w:tcPr>
          <w:p>
            <w:pPr>
              <w:spacing w:after="40" w:before="40" w:line="260"/>
            </w:pPr>
            <w:r>
              <w:rPr>
                <w:b/>
                <w:bCs/>
                <w:color w:val="FFFFFF"/>
                <w:sz w:val="19"/>
                <w:szCs w:val="19"/>
              </w:rPr>
              <w:t xml:space="preserve">Group</w:t>
            </w:r>
          </w:p>
        </w:tc>
        <w:tc>
          <w:tcPr>
            <w:tcW w:type="dxa" w:w="1500"/>
            <w:shd w:fill="1C3F35" w:val="clear"/>
            <w:tcMar>
              <w:top w:type="dxa" w:w="80"/>
              <w:left w:type="dxa" w:w="110"/>
              <w:bottom w:type="dxa" w:w="80"/>
              <w:right w:type="dxa" w:w="110"/>
            </w:tcMar>
          </w:tcPr>
          <w:p>
            <w:pPr>
              <w:spacing w:after="40" w:before="40" w:line="260"/>
            </w:pPr>
            <w:r>
              <w:rPr>
                <w:b/>
                <w:bCs/>
                <w:color w:val="FFFFFF"/>
                <w:sz w:val="19"/>
                <w:szCs w:val="19"/>
              </w:rPr>
              <w:t xml:space="preserve">Count</w:t>
            </w:r>
          </w:p>
        </w:tc>
        <w:tc>
          <w:tcPr>
            <w:tcW w:type="dxa" w:w="4620"/>
            <w:shd w:fill="1C3F35" w:val="clear"/>
            <w:tcMar>
              <w:top w:type="dxa" w:w="80"/>
              <w:left w:type="dxa" w:w="110"/>
              <w:bottom w:type="dxa" w:w="80"/>
              <w:right w:type="dxa" w:w="110"/>
            </w:tcMar>
          </w:tcPr>
          <w:p>
            <w:pPr>
              <w:spacing w:after="40" w:before="40" w:line="260"/>
            </w:pPr>
            <w:r>
              <w:rPr>
                <w:b/>
                <w:bCs/>
                <w:color w:val="FFFFFF"/>
                <w:sz w:val="19"/>
                <w:szCs w:val="19"/>
              </w:rPr>
              <w:t xml:space="preserve">Bounds</w:t>
            </w:r>
          </w:p>
        </w:tc>
      </w:tr>
      <w:tr>
        <w:tc>
          <w:tcPr>
            <w:tcW w:type="dxa" w:w="2900"/>
            <w:tcMar>
              <w:top w:type="dxa" w:w="80"/>
              <w:left w:type="dxa" w:w="110"/>
              <w:bottom w:type="dxa" w:w="80"/>
              <w:right w:type="dxa" w:w="110"/>
            </w:tcMar>
          </w:tcPr>
          <w:p>
            <w:pPr>
              <w:spacing w:after="40" w:before="40" w:line="260"/>
            </w:pPr>
            <w:r>
              <w:rPr>
                <w:b/>
                <w:bCs/>
                <w:sz w:val="19"/>
                <w:szCs w:val="19"/>
              </w:rPr>
              <w:t xml:space="preserve">Percentages (PCT_*)</w:t>
            </w:r>
          </w:p>
        </w:tc>
        <w:tc>
          <w:tcPr>
            <w:tcW w:type="dxa" w:w="1500"/>
            <w:tcMar>
              <w:top w:type="dxa" w:w="80"/>
              <w:left w:type="dxa" w:w="110"/>
              <w:bottom w:type="dxa" w:w="80"/>
              <w:right w:type="dxa" w:w="110"/>
            </w:tcMar>
          </w:tcPr>
          <w:p>
            <w:pPr>
              <w:spacing w:after="40" w:before="40" w:line="260"/>
            </w:pPr>
            <w:r>
              <w:rPr>
                <w:b w:val="false"/>
                <w:bCs w:val="false"/>
                <w:sz w:val="19"/>
                <w:szCs w:val="19"/>
              </w:rPr>
              <w:t xml:space="preserve">36</w:t>
            </w:r>
          </w:p>
        </w:tc>
        <w:tc>
          <w:tcPr>
            <w:tcW w:type="dxa" w:w="4620"/>
            <w:tcMar>
              <w:top w:type="dxa" w:w="80"/>
              <w:left w:type="dxa" w:w="110"/>
              <w:bottom w:type="dxa" w:w="80"/>
              <w:right w:type="dxa" w:w="110"/>
            </w:tcMar>
          </w:tcPr>
          <w:p>
            <w:pPr>
              <w:spacing w:after="40" w:before="40" w:line="260"/>
            </w:pPr>
            <w:r>
              <w:rPr>
                <w:b w:val="false"/>
                <w:bCs w:val="false"/>
                <w:sz w:val="19"/>
                <w:szCs w:val="19"/>
              </w:rPr>
              <w:t xml:space="preserve">Natural bounds of 0 and 100</w:t>
            </w:r>
          </w:p>
        </w:tc>
      </w:tr>
      <w:tr>
        <w:tc>
          <w:tcPr>
            <w:tcW w:type="dxa" w:w="2900"/>
            <w:shd w:fill="F2F5F4" w:val="clear"/>
            <w:tcMar>
              <w:top w:type="dxa" w:w="80"/>
              <w:left w:type="dxa" w:w="110"/>
              <w:bottom w:type="dxa" w:w="80"/>
              <w:right w:type="dxa" w:w="110"/>
            </w:tcMar>
          </w:tcPr>
          <w:p>
            <w:pPr>
              <w:spacing w:after="40" w:before="40" w:line="260"/>
            </w:pPr>
            <w:r>
              <w:rPr>
                <w:b/>
                <w:bCs/>
                <w:sz w:val="19"/>
                <w:szCs w:val="19"/>
              </w:rPr>
              <w:t xml:space="preserve">Composite indices</w:t>
            </w:r>
          </w:p>
        </w:tc>
        <w:tc>
          <w:tcPr>
            <w:tcW w:type="dxa" w:w="1500"/>
            <w:shd w:fill="F2F5F4" w:val="clear"/>
            <w:tcMar>
              <w:top w:type="dxa" w:w="80"/>
              <w:left w:type="dxa" w:w="110"/>
              <w:bottom w:type="dxa" w:w="80"/>
              <w:right w:type="dxa" w:w="110"/>
            </w:tcMar>
          </w:tcPr>
          <w:p>
            <w:pPr>
              <w:spacing w:after="40" w:before="40" w:line="260"/>
            </w:pPr>
            <w:r>
              <w:rPr>
                <w:b w:val="false"/>
                <w:bCs w:val="false"/>
                <w:sz w:val="19"/>
                <w:szCs w:val="19"/>
              </w:rPr>
              <w:t xml:space="preserve">4</w:t>
            </w:r>
          </w:p>
        </w:tc>
        <w:tc>
          <w:tcPr>
            <w:tcW w:type="dxa" w:w="4620"/>
            <w:shd w:fill="F2F5F4" w:val="clear"/>
            <w:tcMar>
              <w:top w:type="dxa" w:w="80"/>
              <w:left w:type="dxa" w:w="110"/>
              <w:bottom w:type="dxa" w:w="80"/>
              <w:right w:type="dxa" w:w="110"/>
            </w:tcMar>
          </w:tcPr>
          <w:p>
            <w:pPr>
              <w:spacing w:after="40" w:before="40" w:line="260"/>
            </w:pPr>
            <w:r>
              <w:rPr>
                <w:b w:val="false"/>
                <w:bCs w:val="false"/>
                <w:sz w:val="19"/>
                <w:szCs w:val="19"/>
              </w:rPr>
              <w:t xml:space="preserve">Already on a fixed scale</w:t>
            </w:r>
          </w:p>
        </w:tc>
      </w:tr>
      <w:tr>
        <w:tc>
          <w:tcPr>
            <w:tcW w:type="dxa" w:w="2900"/>
            <w:tcMar>
              <w:top w:type="dxa" w:w="80"/>
              <w:left w:type="dxa" w:w="110"/>
              <w:bottom w:type="dxa" w:w="80"/>
              <w:right w:type="dxa" w:w="110"/>
            </w:tcMar>
          </w:tcPr>
          <w:p>
            <w:pPr>
              <w:spacing w:after="40" w:before="40" w:line="260"/>
            </w:pPr>
            <w:r>
              <w:rPr>
                <w:b/>
                <w:bCs/>
                <w:sz w:val="19"/>
                <w:szCs w:val="19"/>
              </w:rPr>
              <w:t xml:space="preserve">Counts, extents, lengths</w:t>
            </w:r>
          </w:p>
        </w:tc>
        <w:tc>
          <w:tcPr>
            <w:tcW w:type="dxa" w:w="1500"/>
            <w:tcMar>
              <w:top w:type="dxa" w:w="80"/>
              <w:left w:type="dxa" w:w="110"/>
              <w:bottom w:type="dxa" w:w="80"/>
              <w:right w:type="dxa" w:w="110"/>
            </w:tcMar>
          </w:tcPr>
          <w:p>
            <w:pPr>
              <w:spacing w:after="40" w:before="40" w:line="260"/>
            </w:pPr>
            <w:r>
              <w:rPr>
                <w:b w:val="false"/>
                <w:bCs w:val="false"/>
                <w:sz w:val="19"/>
                <w:szCs w:val="19"/>
              </w:rPr>
              <w:t xml:space="preserve">134</w:t>
            </w:r>
          </w:p>
        </w:tc>
        <w:tc>
          <w:tcPr>
            <w:tcW w:type="dxa" w:w="4620"/>
            <w:tcMar>
              <w:top w:type="dxa" w:w="80"/>
              <w:left w:type="dxa" w:w="110"/>
              <w:bottom w:type="dxa" w:w="80"/>
              <w:right w:type="dxa" w:w="110"/>
            </w:tcMar>
          </w:tcPr>
          <w:p>
            <w:pPr>
              <w:spacing w:after="40" w:before="40" w:line="260"/>
            </w:pPr>
            <w:r>
              <w:rPr>
                <w:b w:val="false"/>
                <w:bCs w:val="false"/>
                <w:sz w:val="19"/>
                <w:szCs w:val="19"/>
              </w:rPr>
              <w:t xml:space="preserve">A ceiling must be stated, or the variable holds until national collection is complete</w:t>
            </w:r>
          </w:p>
        </w:tc>
      </w:tr>
    </w:tbl>
    <w:p>
      <w:pPr>
        <w:spacing w:after="160"/>
      </w:pPr>
    </w:p>
    <w:p>
      <w:pPr>
        <w:pStyle w:val="Heading3"/>
      </w:pPr>
      <w:r>
        <w:t xml:space="preserve">R4 — E3: confirm five bands, and resolve the conflict with the sample sheet</w:t>
      </w:r>
    </w:p>
    <w:p>
      <w:pPr>
        <w:spacing w:after="60" w:before="140"/>
      </w:pPr>
      <w:r>
        <w:rPr>
          <w:b/>
          <w:bCs/>
          <w:caps/>
          <w:color w:val="1C3F35"/>
          <w:sz w:val="19"/>
          <w:szCs w:val="19"/>
        </w:rPr>
        <w:t xml:space="preserve">What the panel decided</w:t>
      </w:r>
    </w:p>
    <w:p>
      <w:pPr>
        <w:spacing w:after="120" w:line="276"/>
      </w:pPr>
      <w:r>
        <w:t xml:space="preserve">Cut points at 0.2, 0.4, 0.6 and 0.8 — five bands. The sample spreadsheet supplied alongside the response defines four bands: 0–0.25, 0.25–0.5, 0.5–0.75, 0.75–1, labelled Low, Moderate, High and Very high.</w:t>
      </w:r>
    </w:p>
    <w:p>
      <w:pPr>
        <w:spacing w:after="60" w:before="140"/>
      </w:pPr>
      <w:r>
        <w:rPr>
          <w:b/>
          <w:bCs/>
          <w:caps/>
          <w:color w:val="1C3F35"/>
          <w:sz w:val="19"/>
          <w:szCs w:val="19"/>
        </w:rPr>
        <w:t xml:space="preserve">The collision</w:t>
      </w:r>
    </w:p>
    <w:p>
      <w:pPr>
        <w:spacing w:after="120" w:line="276"/>
      </w:pPr>
      <w:r>
        <w:t xml:space="preserve">Four bands or five. The two documents disagree, and FR-12.5 requires the same banding to be applied to both risk and vulnerability, so the answer is used in more than one place.</w:t>
      </w:r>
    </w:p>
    <w:p>
      <w:pPr>
        <w:spacing w:after="120" w:line="276"/>
      </w:pPr>
      <w:r>
        <w:t xml:space="preserve">The sample sheet's boundaries also overlap: 0.25 appears as the top of Low and the bottom of Moderate, and 0.5 and 0.75 likewise. Whichever count is chosen, the intervals need to be half-open so that every value falls in exactly one band.</w:t>
      </w:r>
    </w:p>
    <w:p>
      <w:pPr>
        <w:spacing w:after="60" w:before="140"/>
      </w:pPr>
      <w:r>
        <w:rPr>
          <w:b/>
          <w:bCs/>
          <w:caps/>
          <w:color w:val="1C3F35"/>
          <w:sz w:val="19"/>
          <w:szCs w:val="19"/>
        </w:rPr>
        <w:t xml:space="preserve">The revision</w:t>
      </w:r>
    </w:p>
    <w:p>
      <w:pPr>
        <w:spacing w:after="120" w:line="276"/>
      </w:pPr>
      <w:r>
        <w:t xml:space="preserve">Adopt the five bands from the written response, with half-open intervals, on the grounds that the written answer is the panel's formal position and the spreadsheet was supplied as an illustration. Under R1 these thresholds become meaningful, because the score is absolute rather than relative.</w:t>
      </w:r>
    </w:p>
    <w:p>
      <w:pPr>
        <w:spacing w:after="120" w:before="60"/>
        <w:ind w:left="340"/>
      </w:pPr>
      <w:r>
        <w:rPr>
          <w:rFonts w:ascii="Consolas" w:cs="Consolas" w:eastAsia="Consolas" w:hAnsi="Consolas"/>
          <w:color w:val="333333"/>
          <w:sz w:val="18"/>
          <w:szCs w:val="18"/>
        </w:rPr>
        <w:t xml:space="preserve">Very low [0, 0.2)   Low [0.2, 0.4)   Moderate [0.4, 0.6)   High [0.6, 0.8)   Very high [0.8, 1]</w:t>
      </w:r>
    </w:p>
    <w:p>
      <w:pPr>
        <w:spacing w:after="120" w:line="276"/>
      </w:pPr>
      <w:r>
        <w:t xml:space="preserve">To be confirmed rather than assumed — it is a one-line answer from the panel.</w:t>
      </w:r>
    </w:p>
    <w:p>
      <w:pPr>
        <w:pageBreakBefore/>
      </w:pPr>
    </w:p>
    <w:p>
      <w:pPr>
        <w:pStyle w:val="Heading1"/>
      </w:pPr>
      <w:r>
        <w:t xml:space="preserve">Part 3 — Questions for a second round</w:t>
      </w:r>
    </w:p>
    <w:p>
      <w:pPr>
        <w:spacing w:after="120" w:line="276"/>
      </w:pPr>
      <w:r>
        <w:t xml:space="preserve">Nine items. The first is new and should be answered before the others, because it resolves a third of the weighting backlog on its own.</w:t>
      </w:r>
    </w:p>
    <w:p>
      <w:pPr>
        <w:pStyle w:val="Heading3"/>
      </w:pPr>
      <w:r>
        <w:t xml:space="preserve">N1 — Which model defines hazard: the composite index, or its components?</w:t>
      </w:r>
    </w:p>
    <w:p>
      <w:pPr>
        <w:spacing w:after="120" w:line="276"/>
      </w:pPr>
      <w:r>
        <w:rPr>
          <w:i/>
          <w:iCs/>
          <w:color w:val="5A6663"/>
          <w:sz w:val="18"/>
          <w:szCs w:val="18"/>
        </w:rPr>
        <w:t xml:space="preserve">Not asked in the original paper. It emerged from analysing the panel's response against the seeded data.</w:t>
      </w:r>
    </w:p>
    <w:p>
      <w:pPr>
        <w:spacing w:after="60" w:before="140"/>
      </w:pPr>
      <w:r>
        <w:rPr>
          <w:b/>
          <w:bCs/>
          <w:caps/>
          <w:color w:val="1C3F35"/>
          <w:sz w:val="19"/>
          <w:szCs w:val="19"/>
        </w:rPr>
        <w:t xml:space="preserve">What the data shows</w:t>
      </w:r>
    </w:p>
    <w:p>
      <w:pPr>
        <w:spacing w:after="120" w:line="276"/>
      </w:pPr>
      <w:r>
        <w:t xml:space="preserve">Taking Paddy–Drought as the example, the hazard domain is weighted two entirely different ways across the nine provinces:</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2800"/>
        <w:gridCol w:w="1500"/>
        <w:gridCol w:w="1400"/>
        <w:gridCol w:w="1300"/>
        <w:gridCol w:w="2020"/>
      </w:tblGrid>
      <w:tr>
        <w:trPr>
          <w:tblHeader/>
        </w:trPr>
        <w:tc>
          <w:tcPr>
            <w:tcW w:type="dxa" w:w="2800"/>
            <w:shd w:fill="1C3F35" w:val="clear"/>
            <w:tcMar>
              <w:top w:type="dxa" w:w="80"/>
              <w:left w:type="dxa" w:w="110"/>
              <w:bottom w:type="dxa" w:w="80"/>
              <w:right w:type="dxa" w:w="110"/>
            </w:tcMar>
          </w:tcPr>
          <w:p>
            <w:pPr>
              <w:spacing w:after="40" w:before="40" w:line="260"/>
            </w:pPr>
            <w:r>
              <w:rPr>
                <w:b/>
                <w:bCs/>
                <w:color w:val="FFFFFF"/>
                <w:sz w:val="19"/>
                <w:szCs w:val="19"/>
              </w:rPr>
              <w:t xml:space="preserve">Provinces</w:t>
            </w:r>
          </w:p>
        </w:tc>
        <w:tc>
          <w:tcPr>
            <w:tcW w:type="dxa" w:w="1500"/>
            <w:shd w:fill="1C3F35" w:val="clear"/>
            <w:tcMar>
              <w:top w:type="dxa" w:w="80"/>
              <w:left w:type="dxa" w:w="110"/>
              <w:bottom w:type="dxa" w:w="80"/>
              <w:right w:type="dxa" w:w="110"/>
            </w:tcMar>
          </w:tcPr>
          <w:p>
            <w:pPr>
              <w:spacing w:after="40" w:before="40" w:line="260"/>
            </w:pPr>
            <w:r>
              <w:rPr>
                <w:b/>
                <w:bCs/>
                <w:color w:val="FFFFFF"/>
                <w:sz w:val="19"/>
                <w:szCs w:val="19"/>
              </w:rPr>
              <w:t xml:space="preserve">Drought events</w:t>
            </w:r>
          </w:p>
        </w:tc>
        <w:tc>
          <w:tcPr>
            <w:tcW w:type="dxa" w:w="1400"/>
            <w:shd w:fill="1C3F35" w:val="clear"/>
            <w:tcMar>
              <w:top w:type="dxa" w:w="80"/>
              <w:left w:type="dxa" w:w="110"/>
              <w:bottom w:type="dxa" w:w="80"/>
              <w:right w:type="dxa" w:w="110"/>
            </w:tcMar>
          </w:tcPr>
          <w:p>
            <w:pPr>
              <w:spacing w:after="40" w:before="40" w:line="260"/>
            </w:pPr>
            <w:r>
              <w:rPr>
                <w:b/>
                <w:bCs/>
                <w:color w:val="FFFFFF"/>
                <w:sz w:val="19"/>
                <w:szCs w:val="19"/>
              </w:rPr>
              <w:t xml:space="preserve">Warm days</w:t>
            </w:r>
          </w:p>
        </w:tc>
        <w:tc>
          <w:tcPr>
            <w:tcW w:type="dxa" w:w="1300"/>
            <w:shd w:fill="1C3F35" w:val="clear"/>
            <w:tcMar>
              <w:top w:type="dxa" w:w="80"/>
              <w:left w:type="dxa" w:w="110"/>
              <w:bottom w:type="dxa" w:w="80"/>
              <w:right w:type="dxa" w:w="110"/>
            </w:tcMar>
          </w:tcPr>
          <w:p>
            <w:pPr>
              <w:spacing w:after="40" w:before="40" w:line="260"/>
            </w:pPr>
            <w:r>
              <w:rPr>
                <w:b/>
                <w:bCs/>
                <w:color w:val="FFFFFF"/>
                <w:sz w:val="19"/>
                <w:szCs w:val="19"/>
              </w:rPr>
              <w:t xml:space="preserve">SPI</w:t>
            </w:r>
          </w:p>
        </w:tc>
        <w:tc>
          <w:tcPr>
            <w:tcW w:type="dxa" w:w="2020"/>
            <w:shd w:fill="1C3F35" w:val="clear"/>
            <w:tcMar>
              <w:top w:type="dxa" w:w="80"/>
              <w:left w:type="dxa" w:w="110"/>
              <w:bottom w:type="dxa" w:w="80"/>
              <w:right w:type="dxa" w:w="110"/>
            </w:tcMar>
          </w:tcPr>
          <w:p>
            <w:pPr>
              <w:spacing w:after="40" w:before="40" w:line="260"/>
            </w:pPr>
            <w:r>
              <w:rPr>
                <w:b/>
                <w:bCs/>
                <w:color w:val="FFFFFF"/>
                <w:sz w:val="19"/>
                <w:szCs w:val="19"/>
              </w:rPr>
              <w:t xml:space="preserve">Drought Hazard Index</w:t>
            </w:r>
          </w:p>
        </w:tc>
      </w:tr>
      <w:tr>
        <w:tc>
          <w:tcPr>
            <w:tcW w:type="dxa" w:w="2800"/>
            <w:tcMar>
              <w:top w:type="dxa" w:w="80"/>
              <w:left w:type="dxa" w:w="110"/>
              <w:bottom w:type="dxa" w:w="80"/>
              <w:right w:type="dxa" w:w="110"/>
            </w:tcMar>
          </w:tcPr>
          <w:p>
            <w:pPr>
              <w:spacing w:after="40" w:before="40" w:line="260"/>
            </w:pPr>
            <w:r>
              <w:rPr>
                <w:b w:val="false"/>
                <w:bCs w:val="false"/>
                <w:sz w:val="18"/>
                <w:szCs w:val="18"/>
              </w:rPr>
              <w:t xml:space="preserve">Central, Sabaragamuwa, Southern</w:t>
            </w:r>
          </w:p>
        </w:tc>
        <w:tc>
          <w:tcPr>
            <w:tcW w:type="dxa" w:w="1500"/>
            <w:tcMar>
              <w:top w:type="dxa" w:w="80"/>
              <w:left w:type="dxa" w:w="110"/>
              <w:bottom w:type="dxa" w:w="80"/>
              <w:right w:type="dxa" w:w="110"/>
            </w:tcMar>
          </w:tcPr>
          <w:p>
            <w:pPr>
              <w:spacing w:after="40" w:before="40" w:line="260"/>
            </w:pPr>
            <w:r>
              <w:rPr>
                <w:b w:val="false"/>
                <w:bCs w:val="false"/>
                <w:sz w:val="18"/>
                <w:szCs w:val="18"/>
              </w:rPr>
              <w:t xml:space="preserve">50</w:t>
            </w:r>
          </w:p>
        </w:tc>
        <w:tc>
          <w:tcPr>
            <w:tcW w:type="dxa" w:w="1400"/>
            <w:tcMar>
              <w:top w:type="dxa" w:w="80"/>
              <w:left w:type="dxa" w:w="110"/>
              <w:bottom w:type="dxa" w:w="80"/>
              <w:right w:type="dxa" w:w="110"/>
            </w:tcMar>
          </w:tcPr>
          <w:p>
            <w:pPr>
              <w:spacing w:after="40" w:before="40" w:line="260"/>
            </w:pPr>
            <w:r>
              <w:rPr>
                <w:b w:val="false"/>
                <w:bCs w:val="false"/>
                <w:sz w:val="18"/>
                <w:szCs w:val="18"/>
              </w:rPr>
              <w:t xml:space="preserve">10</w:t>
            </w:r>
          </w:p>
        </w:tc>
        <w:tc>
          <w:tcPr>
            <w:tcW w:type="dxa" w:w="1300"/>
            <w:tcMar>
              <w:top w:type="dxa" w:w="80"/>
              <w:left w:type="dxa" w:w="110"/>
              <w:bottom w:type="dxa" w:w="80"/>
              <w:right w:type="dxa" w:w="110"/>
            </w:tcMar>
          </w:tcPr>
          <w:p>
            <w:pPr>
              <w:spacing w:after="40" w:before="40" w:line="260"/>
            </w:pPr>
            <w:r>
              <w:rPr>
                <w:b w:val="false"/>
                <w:bCs w:val="false"/>
                <w:sz w:val="18"/>
                <w:szCs w:val="18"/>
              </w:rPr>
              <w:t xml:space="preserve">40</w:t>
            </w:r>
          </w:p>
        </w:tc>
        <w:tc>
          <w:tcPr>
            <w:tcW w:type="dxa" w:w="2020"/>
            <w:tcMar>
              <w:top w:type="dxa" w:w="80"/>
              <w:left w:type="dxa" w:w="110"/>
              <w:bottom w:type="dxa" w:w="80"/>
              <w:right w:type="dxa" w:w="110"/>
            </w:tcMar>
          </w:tcPr>
          <w:p>
            <w:pPr>
              <w:spacing w:after="40" w:before="40" w:line="260"/>
            </w:pPr>
            <w:r>
              <w:rPr>
                <w:b w:val="false"/>
                <w:bCs w:val="false"/>
                <w:sz w:val="18"/>
                <w:szCs w:val="18"/>
              </w:rPr>
              <w:t xml:space="preserve">— unweighted</w:t>
            </w:r>
          </w:p>
        </w:tc>
      </w:tr>
      <w:tr>
        <w:tc>
          <w:tcPr>
            <w:tcW w:type="dxa" w:w="2800"/>
            <w:shd w:fill="F2F5F4" w:val="clear"/>
            <w:tcMar>
              <w:top w:type="dxa" w:w="80"/>
              <w:left w:type="dxa" w:w="110"/>
              <w:bottom w:type="dxa" w:w="80"/>
              <w:right w:type="dxa" w:w="110"/>
            </w:tcMar>
          </w:tcPr>
          <w:p>
            <w:pPr>
              <w:spacing w:after="40" w:before="40" w:line="260"/>
            </w:pPr>
            <w:r>
              <w:rPr>
                <w:b w:val="false"/>
                <w:bCs w:val="false"/>
                <w:sz w:val="18"/>
                <w:szCs w:val="18"/>
              </w:rPr>
              <w:t xml:space="preserve">Western</w:t>
            </w:r>
          </w:p>
        </w:tc>
        <w:tc>
          <w:tcPr>
            <w:tcW w:type="dxa" w:w="1500"/>
            <w:shd w:fill="F2F5F4" w:val="clear"/>
            <w:tcMar>
              <w:top w:type="dxa" w:w="80"/>
              <w:left w:type="dxa" w:w="110"/>
              <w:bottom w:type="dxa" w:w="80"/>
              <w:right w:type="dxa" w:w="110"/>
            </w:tcMar>
          </w:tcPr>
          <w:p>
            <w:pPr>
              <w:spacing w:after="40" w:before="40" w:line="260"/>
            </w:pPr>
            <w:r>
              <w:rPr>
                <w:b w:val="false"/>
                <w:bCs w:val="false"/>
                <w:sz w:val="18"/>
                <w:szCs w:val="18"/>
              </w:rPr>
              <w:t xml:space="preserve">70</w:t>
            </w:r>
          </w:p>
        </w:tc>
        <w:tc>
          <w:tcPr>
            <w:tcW w:type="dxa" w:w="1400"/>
            <w:shd w:fill="F2F5F4" w:val="clear"/>
            <w:tcMar>
              <w:top w:type="dxa" w:w="80"/>
              <w:left w:type="dxa" w:w="110"/>
              <w:bottom w:type="dxa" w:w="80"/>
              <w:right w:type="dxa" w:w="110"/>
            </w:tcMar>
          </w:tcPr>
          <w:p>
            <w:pPr>
              <w:spacing w:after="40" w:before="40" w:line="260"/>
            </w:pPr>
            <w:r>
              <w:rPr>
                <w:b w:val="false"/>
                <w:bCs w:val="false"/>
                <w:sz w:val="18"/>
                <w:szCs w:val="18"/>
              </w:rPr>
              <w:t xml:space="preserve">10</w:t>
            </w:r>
          </w:p>
        </w:tc>
        <w:tc>
          <w:tcPr>
            <w:tcW w:type="dxa" w:w="1300"/>
            <w:shd w:fill="F2F5F4" w:val="clear"/>
            <w:tcMar>
              <w:top w:type="dxa" w:w="80"/>
              <w:left w:type="dxa" w:w="110"/>
              <w:bottom w:type="dxa" w:w="80"/>
              <w:right w:type="dxa" w:w="110"/>
            </w:tcMar>
          </w:tcPr>
          <w:p>
            <w:pPr>
              <w:spacing w:after="40" w:before="40" w:line="260"/>
            </w:pPr>
            <w:r>
              <w:rPr>
                <w:b w:val="false"/>
                <w:bCs w:val="false"/>
                <w:sz w:val="18"/>
                <w:szCs w:val="18"/>
              </w:rPr>
              <w:t xml:space="preserve">20</w:t>
            </w:r>
          </w:p>
        </w:tc>
        <w:tc>
          <w:tcPr>
            <w:tcW w:type="dxa" w:w="2020"/>
            <w:shd w:fill="F2F5F4" w:val="clear"/>
            <w:tcMar>
              <w:top w:type="dxa" w:w="80"/>
              <w:left w:type="dxa" w:w="110"/>
              <w:bottom w:type="dxa" w:w="80"/>
              <w:right w:type="dxa" w:w="110"/>
            </w:tcMar>
          </w:tcPr>
          <w:p>
            <w:pPr>
              <w:spacing w:after="40" w:before="40" w:line="260"/>
            </w:pPr>
            <w:r>
              <w:rPr>
                <w:b w:val="false"/>
                <w:bCs w:val="false"/>
                <w:sz w:val="18"/>
                <w:szCs w:val="18"/>
              </w:rPr>
              <w:t xml:space="preserve">— unweighted</w:t>
            </w:r>
          </w:p>
        </w:tc>
      </w:tr>
      <w:tr>
        <w:tc>
          <w:tcPr>
            <w:tcW w:type="dxa" w:w="2800"/>
            <w:tcMar>
              <w:top w:type="dxa" w:w="80"/>
              <w:left w:type="dxa" w:w="110"/>
              <w:bottom w:type="dxa" w:w="80"/>
              <w:right w:type="dxa" w:w="110"/>
            </w:tcMar>
          </w:tcPr>
          <w:p>
            <w:pPr>
              <w:spacing w:after="40" w:before="40" w:line="260"/>
            </w:pPr>
            <w:r>
              <w:rPr>
                <w:b w:val="false"/>
                <w:bCs w:val="false"/>
                <w:sz w:val="18"/>
                <w:szCs w:val="18"/>
              </w:rPr>
              <w:t xml:space="preserve">Eastern, N-Central, Northern, N-Western, Uva</w:t>
            </w:r>
          </w:p>
        </w:tc>
        <w:tc>
          <w:tcPr>
            <w:tcW w:type="dxa" w:w="1500"/>
            <w:tcMar>
              <w:top w:type="dxa" w:w="80"/>
              <w:left w:type="dxa" w:w="110"/>
              <w:bottom w:type="dxa" w:w="80"/>
              <w:right w:type="dxa" w:w="110"/>
            </w:tcMar>
          </w:tcPr>
          <w:p>
            <w:pPr>
              <w:spacing w:after="40" w:before="40" w:line="260"/>
            </w:pPr>
            <w:r>
              <w:rPr>
                <w:b w:val="false"/>
                <w:bCs w:val="false"/>
                <w:sz w:val="18"/>
                <w:szCs w:val="18"/>
              </w:rPr>
              <w:t xml:space="preserve">— unweighted</w:t>
            </w:r>
          </w:p>
        </w:tc>
        <w:tc>
          <w:tcPr>
            <w:tcW w:type="dxa" w:w="1400"/>
            <w:tcMar>
              <w:top w:type="dxa" w:w="80"/>
              <w:left w:type="dxa" w:w="110"/>
              <w:bottom w:type="dxa" w:w="80"/>
              <w:right w:type="dxa" w:w="110"/>
            </w:tcMar>
          </w:tcPr>
          <w:p>
            <w:pPr>
              <w:spacing w:after="40" w:before="40" w:line="260"/>
            </w:pPr>
            <w:r>
              <w:rPr>
                <w:b w:val="false"/>
                <w:bCs w:val="false"/>
                <w:sz w:val="18"/>
                <w:szCs w:val="18"/>
              </w:rPr>
              <w:t xml:space="preserve">—</w:t>
            </w:r>
          </w:p>
        </w:tc>
        <w:tc>
          <w:tcPr>
            <w:tcW w:type="dxa" w:w="1300"/>
            <w:tcMar>
              <w:top w:type="dxa" w:w="80"/>
              <w:left w:type="dxa" w:w="110"/>
              <w:bottom w:type="dxa" w:w="80"/>
              <w:right w:type="dxa" w:w="110"/>
            </w:tcMar>
          </w:tcPr>
          <w:p>
            <w:pPr>
              <w:spacing w:after="40" w:before="40" w:line="260"/>
            </w:pPr>
            <w:r>
              <w:rPr>
                <w:b w:val="false"/>
                <w:bCs w:val="false"/>
                <w:sz w:val="18"/>
                <w:szCs w:val="18"/>
              </w:rPr>
              <w:t xml:space="preserve">—</w:t>
            </w:r>
          </w:p>
        </w:tc>
        <w:tc>
          <w:tcPr>
            <w:tcW w:type="dxa" w:w="2020"/>
            <w:tcMar>
              <w:top w:type="dxa" w:w="80"/>
              <w:left w:type="dxa" w:w="110"/>
              <w:bottom w:type="dxa" w:w="80"/>
              <w:right w:type="dxa" w:w="110"/>
            </w:tcMar>
          </w:tcPr>
          <w:p>
            <w:pPr>
              <w:spacing w:after="40" w:before="40" w:line="260"/>
            </w:pPr>
            <w:r>
              <w:rPr>
                <w:b w:val="false"/>
                <w:bCs w:val="false"/>
                <w:sz w:val="18"/>
                <w:szCs w:val="18"/>
              </w:rPr>
              <w:t xml:space="preserve">100</w:t>
            </w:r>
          </w:p>
        </w:tc>
      </w:tr>
    </w:tbl>
    <w:p>
      <w:pPr>
        <w:spacing w:after="160"/>
      </w:pPr>
    </w:p>
    <w:p>
      <w:pPr>
        <w:spacing w:after="120" w:line="276"/>
      </w:pPr>
      <w:r>
        <w:t xml:space="preserve">This is not two weightings of one measurement. It is two different definitions of drought hazard carrying the same name. A hazard index of 0.7 in Ampara and 0.7 in Kandy are not the same statement.</w:t>
      </w:r>
    </w:p>
    <w:p>
      <w:pPr>
        <w:spacing w:after="120" w:line="276"/>
      </w:pPr>
      <w:r>
        <w:t xml:space="preserve">The pattern holds across the whole dataset, and it is complete — no profile mixes the two:</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4400"/>
        <w:gridCol w:w="1400"/>
        <w:gridCol w:w="3220"/>
      </w:tblGrid>
      <w:tr>
        <w:trPr>
          <w:tblHeader/>
        </w:trPr>
        <w:tc>
          <w:tcPr>
            <w:tcW w:type="dxa" w:w="4400"/>
            <w:shd w:fill="1C3F35" w:val="clear"/>
            <w:tcMar>
              <w:top w:type="dxa" w:w="80"/>
              <w:left w:type="dxa" w:w="110"/>
              <w:bottom w:type="dxa" w:w="80"/>
              <w:right w:type="dxa" w:w="110"/>
            </w:tcMar>
          </w:tcPr>
          <w:p>
            <w:pPr>
              <w:spacing w:after="40" w:before="40" w:line="260"/>
            </w:pPr>
            <w:r>
              <w:rPr>
                <w:b/>
                <w:bCs/>
                <w:color w:val="FFFFFF"/>
                <w:sz w:val="19"/>
                <w:szCs w:val="19"/>
              </w:rPr>
              <w:t xml:space="preserve">Hazard model</w:t>
            </w:r>
          </w:p>
        </w:tc>
        <w:tc>
          <w:tcPr>
            <w:tcW w:type="dxa" w:w="1400"/>
            <w:shd w:fill="1C3F35" w:val="clear"/>
            <w:tcMar>
              <w:top w:type="dxa" w:w="80"/>
              <w:left w:type="dxa" w:w="110"/>
              <w:bottom w:type="dxa" w:w="80"/>
              <w:right w:type="dxa" w:w="110"/>
            </w:tcMar>
          </w:tcPr>
          <w:p>
            <w:pPr>
              <w:spacing w:after="40" w:before="40" w:line="260"/>
            </w:pPr>
            <w:r>
              <w:rPr>
                <w:b/>
                <w:bCs/>
                <w:color w:val="FFFFFF"/>
                <w:sz w:val="19"/>
                <w:szCs w:val="19"/>
              </w:rPr>
              <w:t xml:space="preserve">Profiles</w:t>
            </w:r>
          </w:p>
        </w:tc>
        <w:tc>
          <w:tcPr>
            <w:tcW w:type="dxa" w:w="3220"/>
            <w:shd w:fill="1C3F35" w:val="clear"/>
            <w:tcMar>
              <w:top w:type="dxa" w:w="80"/>
              <w:left w:type="dxa" w:w="110"/>
              <w:bottom w:type="dxa" w:w="80"/>
              <w:right w:type="dxa" w:w="110"/>
            </w:tcMar>
          </w:tcPr>
          <w:p>
            <w:pPr>
              <w:spacing w:after="40" w:before="40" w:line="260"/>
            </w:pPr>
            <w:r>
              <w:rPr>
                <w:b/>
                <w:bCs/>
                <w:color w:val="FFFFFF"/>
                <w:sz w:val="19"/>
                <w:szCs w:val="19"/>
              </w:rPr>
              <w:t xml:space="preserve">Note</w:t>
            </w:r>
          </w:p>
        </w:tc>
      </w:tr>
      <w:tr>
        <w:tc>
          <w:tcPr>
            <w:tcW w:type="dxa" w:w="4400"/>
            <w:tcMar>
              <w:top w:type="dxa" w:w="80"/>
              <w:left w:type="dxa" w:w="110"/>
              <w:bottom w:type="dxa" w:w="80"/>
              <w:right w:type="dxa" w:w="110"/>
            </w:tcMar>
          </w:tcPr>
          <w:p>
            <w:pPr>
              <w:spacing w:after="40" w:before="40" w:line="260"/>
            </w:pPr>
            <w:r>
              <w:rPr>
                <w:b/>
                <w:bCs/>
                <w:sz w:val="19"/>
                <w:szCs w:val="19"/>
              </w:rPr>
              <w:t xml:space="preserve">Composite index weighted at 100%</w:t>
            </w:r>
          </w:p>
        </w:tc>
        <w:tc>
          <w:tcPr>
            <w:tcW w:type="dxa" w:w="1400"/>
            <w:tcMar>
              <w:top w:type="dxa" w:w="80"/>
              <w:left w:type="dxa" w:w="110"/>
              <w:bottom w:type="dxa" w:w="80"/>
              <w:right w:type="dxa" w:w="110"/>
            </w:tcMar>
          </w:tcPr>
          <w:p>
            <w:pPr>
              <w:spacing w:after="40" w:before="40" w:line="260"/>
            </w:pPr>
            <w:r>
              <w:rPr>
                <w:b w:val="false"/>
                <w:bCs w:val="false"/>
                <w:sz w:val="19"/>
                <w:szCs w:val="19"/>
              </w:rPr>
              <w:t xml:space="preserve">128</w:t>
            </w:r>
          </w:p>
        </w:tc>
        <w:tc>
          <w:tcPr>
            <w:tcW w:type="dxa" w:w="3220"/>
            <w:tcMar>
              <w:top w:type="dxa" w:w="80"/>
              <w:left w:type="dxa" w:w="110"/>
              <w:bottom w:type="dxa" w:w="80"/>
              <w:right w:type="dxa" w:w="110"/>
            </w:tcMar>
          </w:tcPr>
          <w:p>
            <w:pPr>
              <w:spacing w:after="40" w:before="40" w:line="260"/>
            </w:pPr>
            <w:r>
              <w:rPr>
                <w:b w:val="false"/>
                <w:bCs w:val="false"/>
                <w:sz w:val="19"/>
                <w:szCs w:val="19"/>
              </w:rPr>
              <w:t xml:space="preserve">Components left unweighted</w:t>
            </w:r>
          </w:p>
        </w:tc>
      </w:tr>
      <w:tr>
        <w:tc>
          <w:tcPr>
            <w:tcW w:type="dxa" w:w="4400"/>
            <w:shd w:fill="F2F5F4" w:val="clear"/>
            <w:tcMar>
              <w:top w:type="dxa" w:w="80"/>
              <w:left w:type="dxa" w:w="110"/>
              <w:bottom w:type="dxa" w:w="80"/>
              <w:right w:type="dxa" w:w="110"/>
            </w:tcMar>
          </w:tcPr>
          <w:p>
            <w:pPr>
              <w:spacing w:after="40" w:before="40" w:line="260"/>
            </w:pPr>
            <w:r>
              <w:rPr>
                <w:b/>
                <w:bCs/>
                <w:sz w:val="19"/>
                <w:szCs w:val="19"/>
              </w:rPr>
              <w:t xml:space="preserve">Components weighted, index unweighted</w:t>
            </w:r>
          </w:p>
        </w:tc>
        <w:tc>
          <w:tcPr>
            <w:tcW w:type="dxa" w:w="1400"/>
            <w:shd w:fill="F2F5F4" w:val="clear"/>
            <w:tcMar>
              <w:top w:type="dxa" w:w="80"/>
              <w:left w:type="dxa" w:w="110"/>
              <w:bottom w:type="dxa" w:w="80"/>
              <w:right w:type="dxa" w:w="110"/>
            </w:tcMar>
          </w:tcPr>
          <w:p>
            <w:pPr>
              <w:spacing w:after="40" w:before="40" w:line="260"/>
            </w:pPr>
            <w:r>
              <w:rPr>
                <w:b w:val="false"/>
                <w:bCs w:val="false"/>
                <w:sz w:val="19"/>
                <w:szCs w:val="19"/>
              </w:rPr>
              <w:t xml:space="preserve">115</w:t>
            </w:r>
          </w:p>
        </w:tc>
        <w:tc>
          <w:tcPr>
            <w:tcW w:type="dxa" w:w="3220"/>
            <w:shd w:fill="F2F5F4" w:val="clear"/>
            <w:tcMar>
              <w:top w:type="dxa" w:w="80"/>
              <w:left w:type="dxa" w:w="110"/>
              <w:bottom w:type="dxa" w:w="80"/>
              <w:right w:type="dxa" w:w="110"/>
            </w:tcMar>
          </w:tcPr>
          <w:p>
            <w:pPr>
              <w:spacing w:after="40" w:before="40" w:line="260"/>
            </w:pPr>
            <w:r>
              <w:rPr>
                <w:b w:val="false"/>
                <w:bCs w:val="false"/>
                <w:sz w:val="19"/>
                <w:szCs w:val="19"/>
              </w:rPr>
              <w:t xml:space="preserve">Index left unweighted</w:t>
            </w:r>
          </w:p>
        </w:tc>
      </w:tr>
      <w:tr>
        <w:tc>
          <w:tcPr>
            <w:tcW w:type="dxa" w:w="4400"/>
            <w:tcMar>
              <w:top w:type="dxa" w:w="80"/>
              <w:left w:type="dxa" w:w="110"/>
              <w:bottom w:type="dxa" w:w="80"/>
              <w:right w:type="dxa" w:w="110"/>
            </w:tcMar>
          </w:tcPr>
          <w:p>
            <w:pPr>
              <w:spacing w:after="40" w:before="40" w:line="260"/>
            </w:pPr>
            <w:r>
              <w:rPr>
                <w:b/>
                <w:bCs/>
                <w:sz w:val="19"/>
                <w:szCs w:val="19"/>
              </w:rPr>
              <w:t xml:space="preserve">Both weighted</w:t>
            </w:r>
          </w:p>
        </w:tc>
        <w:tc>
          <w:tcPr>
            <w:tcW w:type="dxa" w:w="1400"/>
            <w:tcMar>
              <w:top w:type="dxa" w:w="80"/>
              <w:left w:type="dxa" w:w="110"/>
              <w:bottom w:type="dxa" w:w="80"/>
              <w:right w:type="dxa" w:w="110"/>
            </w:tcMar>
          </w:tcPr>
          <w:p>
            <w:pPr>
              <w:spacing w:after="40" w:before="40" w:line="260"/>
            </w:pPr>
            <w:r>
              <w:rPr>
                <w:b w:val="false"/>
                <w:bCs w:val="false"/>
                <w:sz w:val="19"/>
                <w:szCs w:val="19"/>
              </w:rPr>
              <w:t xml:space="preserve">0</w:t>
            </w:r>
          </w:p>
        </w:tc>
        <w:tc>
          <w:tcPr>
            <w:tcW w:type="dxa" w:w="3220"/>
            <w:tcMar>
              <w:top w:type="dxa" w:w="80"/>
              <w:left w:type="dxa" w:w="110"/>
              <w:bottom w:type="dxa" w:w="80"/>
              <w:right w:type="dxa" w:w="110"/>
            </w:tcMar>
          </w:tcPr>
          <w:p>
            <w:pPr>
              <w:spacing w:after="40" w:before="40" w:line="260"/>
            </w:pPr>
            <w:r>
              <w:rPr>
                <w:b w:val="false"/>
                <w:bCs w:val="false"/>
                <w:sz w:val="19"/>
                <w:szCs w:val="19"/>
              </w:rPr>
              <w:t xml:space="preserve">No profile combines them</w:t>
            </w:r>
          </w:p>
        </w:tc>
      </w:tr>
      <w:tr>
        <w:tc>
          <w:tcPr>
            <w:tcW w:type="dxa" w:w="4400"/>
            <w:shd w:fill="F2F5F4" w:val="clear"/>
            <w:tcMar>
              <w:top w:type="dxa" w:w="80"/>
              <w:left w:type="dxa" w:w="110"/>
              <w:bottom w:type="dxa" w:w="80"/>
              <w:right w:type="dxa" w:w="110"/>
            </w:tcMar>
          </w:tcPr>
          <w:p>
            <w:pPr>
              <w:spacing w:after="40" w:before="40" w:line="260"/>
            </w:pPr>
            <w:r>
              <w:rPr>
                <w:b/>
                <w:bCs/>
                <w:sz w:val="19"/>
                <w:szCs w:val="19"/>
              </w:rPr>
              <w:t xml:space="preserve">Total</w:t>
            </w:r>
          </w:p>
        </w:tc>
        <w:tc>
          <w:tcPr>
            <w:tcW w:type="dxa" w:w="1400"/>
            <w:shd w:fill="F2F5F4" w:val="clear"/>
            <w:tcMar>
              <w:top w:type="dxa" w:w="80"/>
              <w:left w:type="dxa" w:w="110"/>
              <w:bottom w:type="dxa" w:w="80"/>
              <w:right w:type="dxa" w:w="110"/>
            </w:tcMar>
          </w:tcPr>
          <w:p>
            <w:pPr>
              <w:spacing w:after="40" w:before="40" w:line="260"/>
            </w:pPr>
            <w:r>
              <w:rPr>
                <w:b w:val="false"/>
                <w:bCs w:val="false"/>
                <w:sz w:val="19"/>
                <w:szCs w:val="19"/>
              </w:rPr>
              <w:t xml:space="preserve">243</w:t>
            </w:r>
          </w:p>
        </w:tc>
        <w:tc>
          <w:tcPr>
            <w:tcW w:type="dxa" w:w="3220"/>
            <w:shd w:fill="F2F5F4" w:val="clear"/>
            <w:tcMar>
              <w:top w:type="dxa" w:w="80"/>
              <w:left w:type="dxa" w:w="110"/>
              <w:bottom w:type="dxa" w:w="80"/>
              <w:right w:type="dxa" w:w="110"/>
            </w:tcMar>
          </w:tcPr>
          <w:p>
            <w:pPr>
              <w:spacing w:after="40" w:before="40" w:line="260"/>
            </w:pPr>
            <w:r>
              <w:rPr>
                <w:b w:val="false"/>
                <w:bCs w:val="false"/>
                <w:sz w:val="19"/>
                <w:szCs w:val="19"/>
              </w:rPr>
              <w:t xml:space="preserve"/>
            </w:r>
          </w:p>
        </w:tc>
      </w:tr>
    </w:tbl>
    <w:p>
      <w:pPr>
        <w:spacing w:after="160"/>
      </w:pPr>
    </w:p>
    <w:tbl>
      <w:tblPr>
        <w:tblW w:type="dxa" w:w="9020"/>
        <w:tblBorders>
          <w:top w:val="single" w:color="1E6E4B" w:sz="6"/>
          <w:left w:val="single" w:color="1E6E4B" w:sz="6"/>
          <w:bottom w:val="single" w:color="1E6E4B" w:sz="6"/>
          <w:right w:val="single" w:color="1E6E4B" w:sz="6"/>
          <w:insideH w:val="none"/>
          <w:insideV w:val="none"/>
        </w:tblBorders>
      </w:tblPr>
      <w:tblGrid>
        <w:gridCol w:w="9020"/>
      </w:tblGrid>
      <w:tr>
        <w:tc>
          <w:tcPr>
            <w:tcW w:type="dxa" w:w="9020"/>
            <w:shd w:fill="F2F5F4" w:val="clear"/>
            <w:tcMar>
              <w:top w:type="dxa" w:w="130"/>
              <w:left w:type="dxa" w:w="150"/>
              <w:bottom w:type="dxa" w:w="130"/>
              <w:right w:type="dxa" w:w="150"/>
            </w:tcMar>
          </w:tcPr>
          <w:p>
            <w:pPr>
              <w:spacing w:after="70"/>
            </w:pPr>
            <w:r>
              <w:rPr>
                <w:b/>
                <w:bCs/>
                <w:caps/>
                <w:color w:val="1E6E4B"/>
                <w:sz w:val="19"/>
                <w:szCs w:val="19"/>
              </w:rPr>
              <w:t xml:space="preserve">WHY THIS IS THE HIGHEST-LEVERAGE QUESTION</w:t>
            </w:r>
          </w:p>
          <w:p>
            <w:pPr>
              <w:spacing w:after="70" w:line="270"/>
            </w:pPr>
            <w:r>
              <w:rPr>
                <w:sz w:val="19"/>
                <w:szCs w:val="19"/>
              </w:rPr>
              <w:t xml:space="preserve">All 558 unweighted memberships in the hazard domain arise from this split, and from nothing else. Deciding which model the platform uses closes every one of them at a stroke — 31% of the 1,783 total.</w:t>
            </w:r>
          </w:p>
          <w:p>
            <w:pPr>
              <w:spacing w:after="0" w:line="270"/>
            </w:pPr>
            <w:r>
              <w:rPr>
                <w:sz w:val="19"/>
                <w:szCs w:val="19"/>
              </w:rPr>
              <w:t xml:space="preserve">The variable set is already identical in all nine provinces for all 33 sector-hazard groups, so the split is purely a matter of which variables carry weight. Nothing needs re-collecting.</w:t>
            </w:r>
          </w:p>
        </w:tc>
      </w:tr>
    </w:tbl>
    <w:p>
      <w:pPr>
        <w:spacing w:after="60" w:before="140"/>
      </w:pPr>
      <w:r>
        <w:rPr>
          <w:b/>
          <w:bCs/>
          <w:caps/>
          <w:color w:val="1C3F35"/>
          <w:sz w:val="19"/>
          <w:szCs w:val="19"/>
        </w:rPr>
        <w:t xml:space="preserve">The question</w:t>
      </w:r>
    </w:p>
    <w:p>
      <w:pPr>
        <w:spacing w:after="120" w:line="276"/>
      </w:pPr>
      <w:r>
        <w:t xml:space="preserve">Should the platform express hazard as the composite index, or as its components? And should the answer be the same in every province?</w:t>
      </w:r>
    </w:p>
    <w:p>
      <w:pPr>
        <w:spacing w:after="120" w:line="276"/>
      </w:pPr>
      <w:r>
        <w:t xml:space="preserve">A supplementary question, if the components model is chosen: are the composite indices derived from those same components? If so the two models are approximations of each other and the choice is presentational. If not, they measure different things and the choice is substantive.</w:t>
      </w:r>
    </w:p>
    <w:p>
      <w:pPr>
        <w:spacing w:after="160"/>
      </w:pPr>
    </w:p>
    <w:p>
      <w:pPr>
        <w:pStyle w:val="Heading3"/>
      </w:pPr>
      <w:r>
        <w:t xml:space="preserve">N2 — A4: the weighting task is a re-weighting, not a gap-fill</w:t>
      </w:r>
    </w:p>
    <w:p>
      <w:pPr>
        <w:spacing w:after="60" w:before="140"/>
      </w:pPr>
      <w:r>
        <w:rPr>
          <w:b/>
          <w:bCs/>
          <w:caps/>
          <w:color w:val="1C3F35"/>
          <w:sz w:val="19"/>
          <w:szCs w:val="19"/>
        </w:rPr>
        <w:t xml:space="preserve">What the panel decided</w:t>
      </w:r>
    </w:p>
    <w:p>
      <w:pPr>
        <w:spacing w:after="120" w:line="276"/>
      </w:pPr>
      <w:r>
        <w:t xml:space="preserve">The panel states each weight for each affected profile.</w:t>
      </w:r>
    </w:p>
    <w:p>
      <w:pPr>
        <w:spacing w:after="60" w:before="140"/>
      </w:pPr>
      <w:r>
        <w:rPr>
          <w:b/>
          <w:bCs/>
          <w:caps/>
          <w:color w:val="1C3F35"/>
          <w:sz w:val="19"/>
          <w:szCs w:val="19"/>
        </w:rPr>
        <w:t xml:space="preserve">What that means in practice</w:t>
      </w:r>
    </w:p>
    <w:p>
      <w:pPr>
        <w:spacing w:after="120" w:line="276"/>
      </w:pPr>
      <w:r>
        <w:t xml:space="preserve">Checking the seed against that answer changes its size considerably:</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5800"/>
        <w:gridCol w:w="3220"/>
      </w:tblGrid>
      <w:tr>
        <w:trPr>
          <w:tblHeader/>
        </w:trPr>
        <w:tc>
          <w:tcPr>
            <w:tcW w:type="dxa" w:w="5800"/>
            <w:shd w:fill="1C3F35" w:val="clear"/>
            <w:tcMar>
              <w:top w:type="dxa" w:w="80"/>
              <w:left w:type="dxa" w:w="110"/>
              <w:bottom w:type="dxa" w:w="80"/>
              <w:right w:type="dxa" w:w="110"/>
            </w:tcMar>
          </w:tcPr>
          <w:p>
            <w:pPr>
              <w:spacing w:after="40" w:before="40" w:line="260"/>
            </w:pPr>
            <w:r>
              <w:rPr>
                <w:b/>
                <w:bCs/>
                <w:color w:val="FFFFFF"/>
                <w:sz w:val="19"/>
                <w:szCs w:val="19"/>
              </w:rPr>
              <w:t xml:space="preserve">Finding</w:t>
            </w:r>
          </w:p>
        </w:tc>
        <w:tc>
          <w:tcPr>
            <w:tcW w:type="dxa" w:w="3220"/>
            <w:shd w:fill="1C3F35" w:val="clear"/>
            <w:tcMar>
              <w:top w:type="dxa" w:w="80"/>
              <w:left w:type="dxa" w:w="110"/>
              <w:bottom w:type="dxa" w:w="80"/>
              <w:right w:type="dxa" w:w="110"/>
            </w:tcMar>
          </w:tcPr>
          <w:p>
            <w:pPr>
              <w:spacing w:after="40" w:before="40" w:line="260"/>
            </w:pPr>
            <w:r>
              <w:rPr>
                <w:b/>
                <w:bCs/>
                <w:color w:val="FFFFFF"/>
                <w:sz w:val="19"/>
                <w:szCs w:val="19"/>
              </w:rPr>
              <w:t xml:space="preserve">Figure</w:t>
            </w:r>
          </w:p>
        </w:tc>
      </w:tr>
      <w:tr>
        <w:tc>
          <w:tcPr>
            <w:tcW w:type="dxa" w:w="5800"/>
            <w:tcMar>
              <w:top w:type="dxa" w:w="80"/>
              <w:left w:type="dxa" w:w="110"/>
              <w:bottom w:type="dxa" w:w="80"/>
              <w:right w:type="dxa" w:w="110"/>
            </w:tcMar>
          </w:tcPr>
          <w:p>
            <w:pPr>
              <w:spacing w:after="40" w:before="40" w:line="260"/>
            </w:pPr>
            <w:r>
              <w:rPr>
                <w:b w:val="false"/>
                <w:bCs w:val="false"/>
                <w:sz w:val="19"/>
                <w:szCs w:val="19"/>
              </w:rPr>
              <w:t xml:space="preserve">Profiles containing at least one unweighted variable</w:t>
            </w:r>
          </w:p>
        </w:tc>
        <w:tc>
          <w:tcPr>
            <w:tcW w:type="dxa" w:w="3220"/>
            <w:tcMar>
              <w:top w:type="dxa" w:w="80"/>
              <w:left w:type="dxa" w:w="110"/>
              <w:bottom w:type="dxa" w:w="80"/>
              <w:right w:type="dxa" w:w="110"/>
            </w:tcMar>
          </w:tcPr>
          <w:p>
            <w:pPr>
              <w:spacing w:after="40" w:before="40" w:line="260"/>
            </w:pPr>
            <w:r>
              <w:rPr>
                <w:b w:val="false"/>
                <w:bCs w:val="false"/>
                <w:sz w:val="19"/>
                <w:szCs w:val="19"/>
              </w:rPr>
              <w:t xml:space="preserve">All 243</w:t>
            </w:r>
          </w:p>
        </w:tc>
      </w:tr>
      <w:tr>
        <w:tc>
          <w:tcPr>
            <w:tcW w:type="dxa" w:w="5800"/>
            <w:shd w:fill="F2F5F4" w:val="clear"/>
            <w:tcMar>
              <w:top w:type="dxa" w:w="80"/>
              <w:left w:type="dxa" w:w="110"/>
              <w:bottom w:type="dxa" w:w="80"/>
              <w:right w:type="dxa" w:w="110"/>
            </w:tcMar>
          </w:tcPr>
          <w:p>
            <w:pPr>
              <w:spacing w:after="40" w:before="40" w:line="260"/>
            </w:pPr>
            <w:r>
              <w:rPr>
                <w:b w:val="false"/>
                <w:bCs w:val="false"/>
                <w:sz w:val="19"/>
                <w:szCs w:val="19"/>
              </w:rPr>
              <w:t xml:space="preserve">Profiles that are fully weighted today</w:t>
            </w:r>
          </w:p>
        </w:tc>
        <w:tc>
          <w:tcPr>
            <w:tcW w:type="dxa" w:w="3220"/>
            <w:shd w:fill="F2F5F4" w:val="clear"/>
            <w:tcMar>
              <w:top w:type="dxa" w:w="80"/>
              <w:left w:type="dxa" w:w="110"/>
              <w:bottom w:type="dxa" w:w="80"/>
              <w:right w:type="dxa" w:w="110"/>
            </w:tcMar>
          </w:tcPr>
          <w:p>
            <w:pPr>
              <w:spacing w:after="40" w:before="40" w:line="260"/>
            </w:pPr>
            <w:r>
              <w:rPr>
                <w:b w:val="false"/>
                <w:bCs w:val="false"/>
                <w:sz w:val="19"/>
                <w:szCs w:val="19"/>
              </w:rPr>
              <w:t xml:space="preserve">0</w:t>
            </w:r>
          </w:p>
        </w:tc>
      </w:tr>
      <w:tr>
        <w:tc>
          <w:tcPr>
            <w:tcW w:type="dxa" w:w="5800"/>
            <w:tcMar>
              <w:top w:type="dxa" w:w="80"/>
              <w:left w:type="dxa" w:w="110"/>
              <w:bottom w:type="dxa" w:w="80"/>
              <w:right w:type="dxa" w:w="110"/>
            </w:tcMar>
          </w:tcPr>
          <w:p>
            <w:pPr>
              <w:spacing w:after="40" w:before="40" w:line="260"/>
            </w:pPr>
            <w:r>
              <w:rPr>
                <w:b w:val="false"/>
                <w:bCs w:val="false"/>
                <w:sz w:val="19"/>
                <w:szCs w:val="19"/>
              </w:rPr>
              <w:t xml:space="preserve">Profile-domain groups whose existing weights already total exactly 100 and which also contain an unweighted variable</w:t>
            </w:r>
          </w:p>
        </w:tc>
        <w:tc>
          <w:tcPr>
            <w:tcW w:type="dxa" w:w="3220"/>
            <w:tcMar>
              <w:top w:type="dxa" w:w="80"/>
              <w:left w:type="dxa" w:w="110"/>
              <w:bottom w:type="dxa" w:w="80"/>
              <w:right w:type="dxa" w:w="110"/>
            </w:tcMar>
          </w:tcPr>
          <w:p>
            <w:pPr>
              <w:spacing w:after="40" w:before="40" w:line="260"/>
            </w:pPr>
            <w:r>
              <w:rPr>
                <w:b w:val="false"/>
                <w:bCs w:val="false"/>
                <w:sz w:val="19"/>
                <w:szCs w:val="19"/>
              </w:rPr>
              <w:t xml:space="preserve">401 of 486</w:t>
            </w:r>
          </w:p>
        </w:tc>
      </w:tr>
    </w:tbl>
    <w:p>
      <w:pPr>
        <w:spacing w:after="160"/>
      </w:pPr>
    </w:p>
    <w:p>
      <w:pPr>
        <w:spacing w:after="120" w:line="276"/>
      </w:pPr>
      <w:r>
        <w:t xml:space="preserve">In those 401 groups there is no blank to fill. Because each domain must total exactly 100, giving any weight to a new variable forces the existing weights down. So the task is a re-weighting of every profile, not the completion of partial ones.</w:t>
      </w:r>
    </w:p>
    <w:p>
      <w:pPr>
        <w:spacing w:after="120" w:line="276"/>
      </w:pPr>
      <w:r>
        <w:t xml:space="preserve">The two domains are very different in character, and should be handled separately:</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2000"/>
        <w:gridCol w:w="1500"/>
        <w:gridCol w:w="5520"/>
      </w:tblGrid>
      <w:tr>
        <w:trPr>
          <w:tblHeader/>
        </w:trPr>
        <w:tc>
          <w:tcPr>
            <w:tcW w:type="dxa" w:w="2000"/>
            <w:shd w:fill="1C3F35" w:val="clear"/>
            <w:tcMar>
              <w:top w:type="dxa" w:w="80"/>
              <w:left w:type="dxa" w:w="110"/>
              <w:bottom w:type="dxa" w:w="80"/>
              <w:right w:type="dxa" w:w="110"/>
            </w:tcMar>
          </w:tcPr>
          <w:p>
            <w:pPr>
              <w:spacing w:after="40" w:before="40" w:line="260"/>
            </w:pPr>
            <w:r>
              <w:rPr>
                <w:b/>
                <w:bCs/>
                <w:color w:val="FFFFFF"/>
                <w:sz w:val="19"/>
                <w:szCs w:val="19"/>
              </w:rPr>
              <w:t xml:space="preserve">Domain</w:t>
            </w:r>
          </w:p>
        </w:tc>
        <w:tc>
          <w:tcPr>
            <w:tcW w:type="dxa" w:w="1500"/>
            <w:shd w:fill="1C3F35" w:val="clear"/>
            <w:tcMar>
              <w:top w:type="dxa" w:w="80"/>
              <w:left w:type="dxa" w:w="110"/>
              <w:bottom w:type="dxa" w:w="80"/>
              <w:right w:type="dxa" w:w="110"/>
            </w:tcMar>
          </w:tcPr>
          <w:p>
            <w:pPr>
              <w:spacing w:after="40" w:before="40" w:line="260"/>
            </w:pPr>
            <w:r>
              <w:rPr>
                <w:b/>
                <w:bCs/>
                <w:color w:val="FFFFFF"/>
                <w:sz w:val="19"/>
                <w:szCs w:val="19"/>
              </w:rPr>
              <w:t xml:space="preserve">Blanks</w:t>
            </w:r>
          </w:p>
        </w:tc>
        <w:tc>
          <w:tcPr>
            <w:tcW w:type="dxa" w:w="5520"/>
            <w:shd w:fill="1C3F35" w:val="clear"/>
            <w:tcMar>
              <w:top w:type="dxa" w:w="80"/>
              <w:left w:type="dxa" w:w="110"/>
              <w:bottom w:type="dxa" w:w="80"/>
              <w:right w:type="dxa" w:w="110"/>
            </w:tcMar>
          </w:tcPr>
          <w:p>
            <w:pPr>
              <w:spacing w:after="40" w:before="40" w:line="260"/>
            </w:pPr>
            <w:r>
              <w:rPr>
                <w:b/>
                <w:bCs/>
                <w:color w:val="FFFFFF"/>
                <w:sz w:val="19"/>
                <w:szCs w:val="19"/>
              </w:rPr>
              <w:t xml:space="preserve">Character</w:t>
            </w:r>
          </w:p>
        </w:tc>
      </w:tr>
      <w:tr>
        <w:tc>
          <w:tcPr>
            <w:tcW w:type="dxa" w:w="2000"/>
            <w:tcMar>
              <w:top w:type="dxa" w:w="80"/>
              <w:left w:type="dxa" w:w="110"/>
              <w:bottom w:type="dxa" w:w="80"/>
              <w:right w:type="dxa" w:w="110"/>
            </w:tcMar>
          </w:tcPr>
          <w:p>
            <w:pPr>
              <w:spacing w:after="40" w:before="40" w:line="260"/>
            </w:pPr>
            <w:r>
              <w:rPr>
                <w:b/>
                <w:bCs/>
                <w:sz w:val="19"/>
                <w:szCs w:val="19"/>
              </w:rPr>
              <w:t xml:space="preserve">Hazard</w:t>
            </w:r>
          </w:p>
        </w:tc>
        <w:tc>
          <w:tcPr>
            <w:tcW w:type="dxa" w:w="1500"/>
            <w:tcMar>
              <w:top w:type="dxa" w:w="80"/>
              <w:left w:type="dxa" w:w="110"/>
              <w:bottom w:type="dxa" w:w="80"/>
              <w:right w:type="dxa" w:w="110"/>
            </w:tcMar>
          </w:tcPr>
          <w:p>
            <w:pPr>
              <w:spacing w:after="40" w:before="40" w:line="260"/>
            </w:pPr>
            <w:r>
              <w:rPr>
                <w:b w:val="false"/>
                <w:bCs w:val="false"/>
                <w:sz w:val="19"/>
                <w:szCs w:val="19"/>
              </w:rPr>
              <w:t xml:space="preserve">558</w:t>
            </w:r>
          </w:p>
        </w:tc>
        <w:tc>
          <w:tcPr>
            <w:tcW w:type="dxa" w:w="5520"/>
            <w:tcMar>
              <w:top w:type="dxa" w:w="80"/>
              <w:left w:type="dxa" w:w="110"/>
              <w:bottom w:type="dxa" w:w="80"/>
              <w:right w:type="dxa" w:w="110"/>
            </w:tcMar>
          </w:tcPr>
          <w:p>
            <w:pPr>
              <w:spacing w:after="40" w:before="40" w:line="260"/>
            </w:pPr>
            <w:r>
              <w:rPr>
                <w:b w:val="false"/>
                <w:bCs w:val="false"/>
                <w:sz w:val="19"/>
                <w:szCs w:val="19"/>
              </w:rPr>
              <w:t xml:space="preserve">Entirely explained by the model split in N1. One decision closes all of them.</w:t>
            </w:r>
          </w:p>
        </w:tc>
      </w:tr>
      <w:tr>
        <w:tc>
          <w:tcPr>
            <w:tcW w:type="dxa" w:w="2000"/>
            <w:shd w:fill="F2F5F4" w:val="clear"/>
            <w:tcMar>
              <w:top w:type="dxa" w:w="80"/>
              <w:left w:type="dxa" w:w="110"/>
              <w:bottom w:type="dxa" w:w="80"/>
              <w:right w:type="dxa" w:w="110"/>
            </w:tcMar>
          </w:tcPr>
          <w:p>
            <w:pPr>
              <w:spacing w:after="40" w:before="40" w:line="260"/>
            </w:pPr>
            <w:r>
              <w:rPr>
                <w:b/>
                <w:bCs/>
                <w:sz w:val="19"/>
                <w:szCs w:val="19"/>
              </w:rPr>
              <w:t xml:space="preserve">Exposure</w:t>
            </w:r>
          </w:p>
        </w:tc>
        <w:tc>
          <w:tcPr>
            <w:tcW w:type="dxa" w:w="1500"/>
            <w:shd w:fill="F2F5F4" w:val="clear"/>
            <w:tcMar>
              <w:top w:type="dxa" w:w="80"/>
              <w:left w:type="dxa" w:w="110"/>
              <w:bottom w:type="dxa" w:w="80"/>
              <w:right w:type="dxa" w:w="110"/>
            </w:tcMar>
          </w:tcPr>
          <w:p>
            <w:pPr>
              <w:spacing w:after="40" w:before="40" w:line="260"/>
            </w:pPr>
            <w:r>
              <w:rPr>
                <w:b w:val="false"/>
                <w:bCs w:val="false"/>
                <w:sz w:val="19"/>
                <w:szCs w:val="19"/>
              </w:rPr>
              <w:t xml:space="preserve">1,225</w:t>
            </w:r>
          </w:p>
        </w:tc>
        <w:tc>
          <w:tcPr>
            <w:tcW w:type="dxa" w:w="5520"/>
            <w:shd w:fill="F2F5F4" w:val="clear"/>
            <w:tcMar>
              <w:top w:type="dxa" w:w="80"/>
              <w:left w:type="dxa" w:w="110"/>
              <w:bottom w:type="dxa" w:w="80"/>
              <w:right w:type="dxa" w:w="110"/>
            </w:tcMar>
          </w:tcPr>
          <w:p>
            <w:pPr>
              <w:spacing w:after="40" w:before="40" w:line="260"/>
            </w:pPr>
            <w:r>
              <w:rPr>
                <w:b w:val="false"/>
                <w:bCs w:val="false"/>
                <w:sz w:val="19"/>
                <w:szCs w:val="19"/>
              </w:rPr>
              <w:t xml:space="preserve">Diffuse across 108 variables — the twelve largest contributors account for only 27%. Genuine profile-by-profile work.</w:t>
            </w:r>
          </w:p>
        </w:tc>
      </w:tr>
    </w:tbl>
    <w:p>
      <w:pPr>
        <w:spacing w:after="160"/>
      </w:pPr>
    </w:p>
    <w:p>
      <w:pPr>
        <w:spacing w:after="60" w:before="140"/>
      </w:pPr>
      <w:r>
        <w:rPr>
          <w:b/>
          <w:bCs/>
          <w:caps/>
          <w:color w:val="1C3F35"/>
          <w:sz w:val="19"/>
          <w:szCs w:val="19"/>
        </w:rPr>
        <w:t xml:space="preserve">The question</w:t>
      </w:r>
    </w:p>
    <w:p>
      <w:pPr>
        <w:spacing w:after="120" w:line="276"/>
      </w:pPr>
      <w:r>
        <w:t xml:space="preserve">Given that scale, should the exposure domain be weighted profile by profile as stated, or should an interim method — equal weight, or AHP on a representative subset extended by analogy — be used to unblock computation, with direct entry following later? Every revision creates a new profile version, so early results stay explainable and are superseded rather than overwritten.</w:t>
      </w:r>
    </w:p>
    <w:p>
      <w:pPr>
        <w:spacing w:after="160"/>
      </w:pPr>
    </w:p>
    <w:p>
      <w:pPr>
        <w:pStyle w:val="Heading3"/>
      </w:pPr>
      <w:r>
        <w:t xml:space="preserve">N3 to N9 — Contradictions between the marginal notes and the selected answers</w:t>
      </w:r>
    </w:p>
    <w:p>
      <w:pPr>
        <w:spacing w:after="120" w:line="276"/>
      </w:pPr>
      <w:r>
        <w:t xml:space="preserve">In each case the response contains both a marginal note and a chosen option, and the two point different ways. These need only a short confirmation each.</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700"/>
        <w:gridCol w:w="2500"/>
        <w:gridCol w:w="2700"/>
        <w:gridCol w:w="3120"/>
      </w:tblGrid>
      <w:tr>
        <w:trPr>
          <w:tblHeader/>
        </w:trPr>
        <w:tc>
          <w:tcPr>
            <w:tcW w:type="dxa" w:w="700"/>
            <w:shd w:fill="1C3F35" w:val="clear"/>
            <w:tcMar>
              <w:top w:type="dxa" w:w="80"/>
              <w:left w:type="dxa" w:w="110"/>
              <w:bottom w:type="dxa" w:w="80"/>
              <w:right w:type="dxa" w:w="110"/>
            </w:tcMar>
          </w:tcPr>
          <w:p>
            <w:pPr>
              <w:spacing w:after="40" w:before="40" w:line="260"/>
            </w:pPr>
            <w:r>
              <w:rPr>
                <w:b/>
                <w:bCs/>
                <w:color w:val="FFFFFF"/>
                <w:sz w:val="19"/>
                <w:szCs w:val="19"/>
              </w:rPr>
              <w:t xml:space="preserve">ID</w:t>
            </w:r>
          </w:p>
        </w:tc>
        <w:tc>
          <w:tcPr>
            <w:tcW w:type="dxa" w:w="2500"/>
            <w:shd w:fill="1C3F35" w:val="clear"/>
            <w:tcMar>
              <w:top w:type="dxa" w:w="80"/>
              <w:left w:type="dxa" w:w="110"/>
              <w:bottom w:type="dxa" w:w="80"/>
              <w:right w:type="dxa" w:w="110"/>
            </w:tcMar>
          </w:tcPr>
          <w:p>
            <w:pPr>
              <w:spacing w:after="40" w:before="40" w:line="260"/>
            </w:pPr>
            <w:r>
              <w:rPr>
                <w:b/>
                <w:bCs/>
                <w:color w:val="FFFFFF"/>
                <w:sz w:val="19"/>
                <w:szCs w:val="19"/>
              </w:rPr>
              <w:t xml:space="preserve">Question</w:t>
            </w:r>
          </w:p>
        </w:tc>
        <w:tc>
          <w:tcPr>
            <w:tcW w:type="dxa" w:w="2700"/>
            <w:shd w:fill="1C3F35" w:val="clear"/>
            <w:tcMar>
              <w:top w:type="dxa" w:w="80"/>
              <w:left w:type="dxa" w:w="110"/>
              <w:bottom w:type="dxa" w:w="80"/>
              <w:right w:type="dxa" w:w="110"/>
            </w:tcMar>
          </w:tcPr>
          <w:p>
            <w:pPr>
              <w:spacing w:after="40" w:before="40" w:line="260"/>
            </w:pPr>
            <w:r>
              <w:rPr>
                <w:b/>
                <w:bCs/>
                <w:color w:val="FFFFFF"/>
                <w:sz w:val="19"/>
                <w:szCs w:val="19"/>
              </w:rPr>
              <w:t xml:space="preserve">The contradiction</w:t>
            </w:r>
          </w:p>
        </w:tc>
        <w:tc>
          <w:tcPr>
            <w:tcW w:type="dxa" w:w="3120"/>
            <w:shd w:fill="1C3F35" w:val="clear"/>
            <w:tcMar>
              <w:top w:type="dxa" w:w="80"/>
              <w:left w:type="dxa" w:w="110"/>
              <w:bottom w:type="dxa" w:w="80"/>
              <w:right w:type="dxa" w:w="110"/>
            </w:tcMar>
          </w:tcPr>
          <w:p>
            <w:pPr>
              <w:spacing w:after="40" w:before="40" w:line="260"/>
            </w:pPr>
            <w:r>
              <w:rPr>
                <w:b/>
                <w:bCs/>
                <w:color w:val="FFFFFF"/>
                <w:sz w:val="19"/>
                <w:szCs w:val="19"/>
              </w:rPr>
              <w:t xml:space="preserve">What is needed</w:t>
            </w:r>
          </w:p>
        </w:tc>
      </w:tr>
      <w:tr>
        <w:tc>
          <w:tcPr>
            <w:tcW w:type="dxa" w:w="700"/>
            <w:tcMar>
              <w:top w:type="dxa" w:w="80"/>
              <w:left w:type="dxa" w:w="110"/>
              <w:bottom w:type="dxa" w:w="80"/>
              <w:right w:type="dxa" w:w="110"/>
            </w:tcMar>
          </w:tcPr>
          <w:p>
            <w:pPr>
              <w:spacing w:after="40" w:before="40" w:line="260"/>
            </w:pPr>
            <w:r>
              <w:rPr>
                <w:b/>
                <w:bCs/>
                <w:sz w:val="17"/>
                <w:szCs w:val="17"/>
              </w:rPr>
              <w:t xml:space="preserve">N3</w:t>
            </w:r>
          </w:p>
        </w:tc>
        <w:tc>
          <w:tcPr>
            <w:tcW w:type="dxa" w:w="2500"/>
            <w:tcMar>
              <w:top w:type="dxa" w:w="80"/>
              <w:left w:type="dxa" w:w="110"/>
              <w:bottom w:type="dxa" w:w="80"/>
              <w:right w:type="dxa" w:w="110"/>
            </w:tcMar>
          </w:tcPr>
          <w:p>
            <w:pPr>
              <w:spacing w:after="40" w:before="40" w:line="260"/>
            </w:pPr>
            <w:r>
              <w:rPr>
                <w:b w:val="false"/>
                <w:bCs w:val="false"/>
                <w:sz w:val="17"/>
                <w:szCs w:val="17"/>
              </w:rPr>
              <w:t xml:space="preserve">B2 — period boundary</w:t>
            </w:r>
          </w:p>
        </w:tc>
        <w:tc>
          <w:tcPr>
            <w:tcW w:type="dxa" w:w="2700"/>
            <w:tcMar>
              <w:top w:type="dxa" w:w="80"/>
              <w:left w:type="dxa" w:w="110"/>
              <w:bottom w:type="dxa" w:w="80"/>
              <w:right w:type="dxa" w:w="110"/>
            </w:tcMar>
          </w:tcPr>
          <w:p>
            <w:pPr>
              <w:spacing w:after="40" w:before="40" w:line="260"/>
            </w:pPr>
            <w:r>
              <w:rPr>
                <w:b w:val="false"/>
                <w:bCs w:val="false"/>
                <w:sz w:val="17"/>
                <w:szCs w:val="17"/>
              </w:rPr>
              <w:t xml:space="preserve">The note reads "up to 2025 Dec, then 2026 Jan – 2030 Dec", which makes the periods non-overlapping and puts 2025 in the first. The selected answer sends 2025 to the second.</w:t>
            </w:r>
          </w:p>
        </w:tc>
        <w:tc>
          <w:tcPr>
            <w:tcW w:type="dxa" w:w="3120"/>
            <w:tcMar>
              <w:top w:type="dxa" w:w="80"/>
              <w:left w:type="dxa" w:w="110"/>
              <w:bottom w:type="dxa" w:w="80"/>
              <w:right w:type="dxa" w:w="110"/>
            </w:tcMar>
          </w:tcPr>
          <w:p>
            <w:pPr>
              <w:spacing w:after="40" w:before="40" w:line="260"/>
            </w:pPr>
            <w:r>
              <w:rPr>
                <w:b w:val="false"/>
                <w:bCs w:val="false"/>
                <w:sz w:val="17"/>
                <w:szCs w:val="17"/>
              </w:rPr>
              <w:t xml:space="preserve">Confirm which. Non-overlapping periods would remove the ambiguity entirely, but require the period label to change on every workbook and seeded value.</w:t>
            </w:r>
          </w:p>
        </w:tc>
      </w:tr>
      <w:tr>
        <w:tc>
          <w:tcPr>
            <w:tcW w:type="dxa" w:w="700"/>
            <w:shd w:fill="F2F5F4" w:val="clear"/>
            <w:tcMar>
              <w:top w:type="dxa" w:w="80"/>
              <w:left w:type="dxa" w:w="110"/>
              <w:bottom w:type="dxa" w:w="80"/>
              <w:right w:type="dxa" w:w="110"/>
            </w:tcMar>
          </w:tcPr>
          <w:p>
            <w:pPr>
              <w:spacing w:after="40" w:before="40" w:line="260"/>
            </w:pPr>
            <w:r>
              <w:rPr>
                <w:b/>
                <w:bCs/>
                <w:sz w:val="17"/>
                <w:szCs w:val="17"/>
              </w:rPr>
              <w:t xml:space="preserve">N4</w:t>
            </w:r>
          </w:p>
        </w:tc>
        <w:tc>
          <w:tcPr>
            <w:tcW w:type="dxa" w:w="2500"/>
            <w:shd w:fill="F2F5F4" w:val="clear"/>
            <w:tcMar>
              <w:top w:type="dxa" w:w="80"/>
              <w:left w:type="dxa" w:w="110"/>
              <w:bottom w:type="dxa" w:w="80"/>
              <w:right w:type="dxa" w:w="110"/>
            </w:tcMar>
          </w:tcPr>
          <w:p>
            <w:pPr>
              <w:spacing w:after="40" w:before="40" w:line="260"/>
            </w:pPr>
            <w:r>
              <w:rPr>
                <w:b w:val="false"/>
                <w:bCs w:val="false"/>
                <w:sz w:val="17"/>
                <w:szCs w:val="17"/>
              </w:rPr>
              <w:t xml:space="preserve">C1 — NAP mapping</w:t>
            </w:r>
          </w:p>
        </w:tc>
        <w:tc>
          <w:tcPr>
            <w:tcW w:type="dxa" w:w="2700"/>
            <w:shd w:fill="F2F5F4" w:val="clear"/>
            <w:tcMar>
              <w:top w:type="dxa" w:w="80"/>
              <w:left w:type="dxa" w:w="110"/>
              <w:bottom w:type="dxa" w:w="80"/>
              <w:right w:type="dxa" w:w="110"/>
            </w:tcMar>
          </w:tcPr>
          <w:p>
            <w:pPr>
              <w:spacing w:after="40" w:before="40" w:line="260"/>
            </w:pPr>
            <w:r>
              <w:rPr>
                <w:b w:val="false"/>
                <w:bCs w:val="false"/>
                <w:sz w:val="17"/>
                <w:szCs w:val="17"/>
              </w:rPr>
              <w:t xml:space="preserve">No option was chosen. The reproduced table answers what is covered, not how the relationship should be recorded.</w:t>
            </w:r>
          </w:p>
        </w:tc>
        <w:tc>
          <w:tcPr>
            <w:tcW w:type="dxa" w:w="3120"/>
            <w:shd w:fill="F2F5F4" w:val="clear"/>
            <w:tcMar>
              <w:top w:type="dxa" w:w="80"/>
              <w:left w:type="dxa" w:w="110"/>
              <w:bottom w:type="dxa" w:w="80"/>
              <w:right w:type="dxa" w:w="110"/>
            </w:tcMar>
          </w:tcPr>
          <w:p>
            <w:pPr>
              <w:spacing w:after="40" w:before="40" w:line="260"/>
            </w:pPr>
            <w:r>
              <w:rPr>
                <w:b w:val="false"/>
                <w:bCs w:val="false"/>
                <w:sz w:val="17"/>
                <w:szCs w:val="17"/>
              </w:rPr>
              <w:t xml:space="preserve">Choose between crosswalk, restructure, and add-alongside. The crosswalk with live profile counts is in the original paper.</w:t>
            </w:r>
          </w:p>
        </w:tc>
      </w:tr>
      <w:tr>
        <w:tc>
          <w:tcPr>
            <w:tcW w:type="dxa" w:w="700"/>
            <w:tcMar>
              <w:top w:type="dxa" w:w="80"/>
              <w:left w:type="dxa" w:w="110"/>
              <w:bottom w:type="dxa" w:w="80"/>
              <w:right w:type="dxa" w:w="110"/>
            </w:tcMar>
          </w:tcPr>
          <w:p>
            <w:pPr>
              <w:spacing w:after="40" w:before="40" w:line="260"/>
            </w:pPr>
            <w:r>
              <w:rPr>
                <w:b/>
                <w:bCs/>
                <w:sz w:val="17"/>
                <w:szCs w:val="17"/>
              </w:rPr>
              <w:t xml:space="preserve">N5</w:t>
            </w:r>
          </w:p>
        </w:tc>
        <w:tc>
          <w:tcPr>
            <w:tcW w:type="dxa" w:w="2500"/>
            <w:tcMar>
              <w:top w:type="dxa" w:w="80"/>
              <w:left w:type="dxa" w:w="110"/>
              <w:bottom w:type="dxa" w:w="80"/>
              <w:right w:type="dxa" w:w="110"/>
            </w:tcMar>
          </w:tcPr>
          <w:p>
            <w:pPr>
              <w:spacing w:after="40" w:before="40" w:line="260"/>
            </w:pPr>
            <w:r>
              <w:rPr>
                <w:b w:val="false"/>
                <w:bCs w:val="false"/>
                <w:sz w:val="17"/>
                <w:szCs w:val="17"/>
              </w:rPr>
              <w:t xml:space="preserve">C2 — non-assessable NAP entries</w:t>
            </w:r>
          </w:p>
        </w:tc>
        <w:tc>
          <w:tcPr>
            <w:tcW w:type="dxa" w:w="2700"/>
            <w:tcMar>
              <w:top w:type="dxa" w:w="80"/>
              <w:left w:type="dxa" w:w="110"/>
              <w:bottom w:type="dxa" w:w="80"/>
              <w:right w:type="dxa" w:w="110"/>
            </w:tcMar>
          </w:tcPr>
          <w:p>
            <w:pPr>
              <w:spacing w:after="40" w:before="40" w:line="260"/>
            </w:pPr>
            <w:r>
              <w:rPr>
                <w:b w:val="false"/>
                <w:bCs w:val="false"/>
                <w:sz w:val="17"/>
                <w:szCs w:val="17"/>
              </w:rPr>
              <w:t xml:space="preserve">The heading is annotated "No need"; the answer registers all four as permanently unassessed; C1's table marks only two as not calculated.</w:t>
            </w:r>
          </w:p>
        </w:tc>
        <w:tc>
          <w:tcPr>
            <w:tcW w:type="dxa" w:w="3120"/>
            <w:tcMar>
              <w:top w:type="dxa" w:w="80"/>
              <w:left w:type="dxa" w:w="110"/>
              <w:bottom w:type="dxa" w:w="80"/>
              <w:right w:type="dxa" w:w="110"/>
            </w:tcMar>
          </w:tcPr>
          <w:p>
            <w:pPr>
              <w:spacing w:after="40" w:before="40" w:line="260"/>
            </w:pPr>
            <w:r>
              <w:rPr>
                <w:b w:val="false"/>
                <w:bCs w:val="false"/>
                <w:sz w:val="17"/>
                <w:szCs w:val="17"/>
              </w:rPr>
              <w:t xml:space="preserve">Confirm how many of the four are registered, and whether registered means visible in the sector filter.</w:t>
            </w:r>
          </w:p>
        </w:tc>
      </w:tr>
      <w:tr>
        <w:tc>
          <w:tcPr>
            <w:tcW w:type="dxa" w:w="700"/>
            <w:shd w:fill="F2F5F4" w:val="clear"/>
            <w:tcMar>
              <w:top w:type="dxa" w:w="80"/>
              <w:left w:type="dxa" w:w="110"/>
              <w:bottom w:type="dxa" w:w="80"/>
              <w:right w:type="dxa" w:w="110"/>
            </w:tcMar>
          </w:tcPr>
          <w:p>
            <w:pPr>
              <w:spacing w:after="40" w:before="40" w:line="260"/>
            </w:pPr>
            <w:r>
              <w:rPr>
                <w:b/>
                <w:bCs/>
                <w:sz w:val="17"/>
                <w:szCs w:val="17"/>
              </w:rPr>
              <w:t xml:space="preserve">N6</w:t>
            </w:r>
          </w:p>
        </w:tc>
        <w:tc>
          <w:tcPr>
            <w:tcW w:type="dxa" w:w="2500"/>
            <w:shd w:fill="F2F5F4" w:val="clear"/>
            <w:tcMar>
              <w:top w:type="dxa" w:w="80"/>
              <w:left w:type="dxa" w:w="110"/>
              <w:bottom w:type="dxa" w:w="80"/>
              <w:right w:type="dxa" w:w="110"/>
            </w:tcMar>
          </w:tcPr>
          <w:p>
            <w:pPr>
              <w:spacing w:after="40" w:before="40" w:line="260"/>
            </w:pPr>
            <w:r>
              <w:rPr>
                <w:b w:val="false"/>
                <w:bCs w:val="false"/>
                <w:sz w:val="17"/>
                <w:szCs w:val="17"/>
              </w:rPr>
              <w:t xml:space="preserve">C3 and C4 — scope</w:t>
            </w:r>
          </w:p>
        </w:tc>
        <w:tc>
          <w:tcPr>
            <w:tcW w:type="dxa" w:w="2700"/>
            <w:shd w:fill="F2F5F4" w:val="clear"/>
            <w:tcMar>
              <w:top w:type="dxa" w:w="80"/>
              <w:left w:type="dxa" w:w="110"/>
              <w:bottom w:type="dxa" w:w="80"/>
              <w:right w:type="dxa" w:w="110"/>
            </w:tcMar>
          </w:tcPr>
          <w:p>
            <w:pPr>
              <w:spacing w:after="40" w:before="40" w:line="260"/>
            </w:pPr>
            <w:r>
              <w:rPr>
                <w:b w:val="false"/>
                <w:bCs w:val="false"/>
                <w:sz w:val="17"/>
                <w:szCs w:val="17"/>
              </w:rPr>
              <w:t xml:space="preserve">C3 makes every gap a collection target — rubber, energy, marine fisheries, watershed, estate infrastructure. C4 registers hazards only with no new variables, though annotated "System will be add New variables". C3 also reverses the owner's earlier register-only decision.</w:t>
            </w:r>
          </w:p>
        </w:tc>
        <w:tc>
          <w:tcPr>
            <w:tcW w:type="dxa" w:w="3120"/>
            <w:shd w:fill="F2F5F4" w:val="clear"/>
            <w:tcMar>
              <w:top w:type="dxa" w:w="80"/>
              <w:left w:type="dxa" w:w="110"/>
              <w:bottom w:type="dxa" w:w="80"/>
              <w:right w:type="dxa" w:w="110"/>
            </w:tcMar>
          </w:tcPr>
          <w:p>
            <w:pPr>
              <w:spacing w:after="40" w:before="40" w:line="260"/>
            </w:pPr>
            <w:r>
              <w:rPr>
                <w:b w:val="false"/>
                <w:bCs w:val="false"/>
                <w:sz w:val="17"/>
                <w:szCs w:val="17"/>
              </w:rPr>
              <w:t xml:space="preserve">Confirm whether a second collection round is in scope. If it is, it is a Phase 2 programme rather than a V1 activity.</w:t>
            </w:r>
          </w:p>
        </w:tc>
      </w:tr>
      <w:tr>
        <w:tc>
          <w:tcPr>
            <w:tcW w:type="dxa" w:w="700"/>
            <w:tcMar>
              <w:top w:type="dxa" w:w="80"/>
              <w:left w:type="dxa" w:w="110"/>
              <w:bottom w:type="dxa" w:w="80"/>
              <w:right w:type="dxa" w:w="110"/>
            </w:tcMar>
          </w:tcPr>
          <w:p>
            <w:pPr>
              <w:spacing w:after="40" w:before="40" w:line="260"/>
            </w:pPr>
            <w:r>
              <w:rPr>
                <w:b/>
                <w:bCs/>
                <w:sz w:val="17"/>
                <w:szCs w:val="17"/>
              </w:rPr>
              <w:t xml:space="preserve">N7</w:t>
            </w:r>
          </w:p>
        </w:tc>
        <w:tc>
          <w:tcPr>
            <w:tcW w:type="dxa" w:w="2500"/>
            <w:tcMar>
              <w:top w:type="dxa" w:w="80"/>
              <w:left w:type="dxa" w:w="110"/>
              <w:bottom w:type="dxa" w:w="80"/>
              <w:right w:type="dxa" w:w="110"/>
            </w:tcMar>
          </w:tcPr>
          <w:p>
            <w:pPr>
              <w:spacing w:after="40" w:before="40" w:line="260"/>
            </w:pPr>
            <w:r>
              <w:rPr>
                <w:b w:val="false"/>
                <w:bCs w:val="false"/>
                <w:sz w:val="17"/>
                <w:szCs w:val="17"/>
              </w:rPr>
              <w:t xml:space="preserve">D1 — hazard geometry</w:t>
            </w:r>
          </w:p>
        </w:tc>
        <w:tc>
          <w:tcPr>
            <w:tcW w:type="dxa" w:w="2700"/>
            <w:tcMar>
              <w:top w:type="dxa" w:w="80"/>
              <w:left w:type="dxa" w:w="110"/>
              <w:bottom w:type="dxa" w:w="80"/>
              <w:right w:type="dxa" w:w="110"/>
            </w:tcMar>
          </w:tcPr>
          <w:p>
            <w:pPr>
              <w:spacing w:after="40" w:before="40" w:line="260"/>
            </w:pPr>
            <w:r>
              <w:rPr>
                <w:b w:val="false"/>
                <w:bCs w:val="false"/>
                <w:sz w:val="17"/>
                <w:szCs w:val="17"/>
              </w:rPr>
              <w:t xml:space="preserve">The heading is annotated "Not this version"; the answer commits to supplying hazard extents as layers and adding a two-layer toolbox operation.</w:t>
            </w:r>
          </w:p>
        </w:tc>
        <w:tc>
          <w:tcPr>
            <w:tcW w:type="dxa" w:w="3120"/>
            <w:tcMar>
              <w:top w:type="dxa" w:w="80"/>
              <w:left w:type="dxa" w:w="110"/>
              <w:bottom w:type="dxa" w:w="80"/>
              <w:right w:type="dxa" w:w="110"/>
            </w:tcMar>
          </w:tcPr>
          <w:p>
            <w:pPr>
              <w:spacing w:after="40" w:before="40" w:line="260"/>
            </w:pPr>
            <w:r>
              <w:rPr>
                <w:b w:val="false"/>
                <w:bCs w:val="false"/>
                <w:sz w:val="17"/>
                <w:szCs w:val="17"/>
              </w:rPr>
              <w:t xml:space="preserve">Confirm. This one is blocking: fourteen catalogue variables and the risk layer's asset-exposure term both depend on it.</w:t>
            </w:r>
          </w:p>
        </w:tc>
      </w:tr>
      <w:tr>
        <w:tc>
          <w:tcPr>
            <w:tcW w:type="dxa" w:w="700"/>
            <w:shd w:fill="F2F5F4" w:val="clear"/>
            <w:tcMar>
              <w:top w:type="dxa" w:w="80"/>
              <w:left w:type="dxa" w:w="110"/>
              <w:bottom w:type="dxa" w:w="80"/>
              <w:right w:type="dxa" w:w="110"/>
            </w:tcMar>
          </w:tcPr>
          <w:p>
            <w:pPr>
              <w:spacing w:after="40" w:before="40" w:line="260"/>
            </w:pPr>
            <w:r>
              <w:rPr>
                <w:b/>
                <w:bCs/>
                <w:sz w:val="17"/>
                <w:szCs w:val="17"/>
              </w:rPr>
              <w:t xml:space="preserve">N8</w:t>
            </w:r>
          </w:p>
        </w:tc>
        <w:tc>
          <w:tcPr>
            <w:tcW w:type="dxa" w:w="2500"/>
            <w:shd w:fill="F2F5F4" w:val="clear"/>
            <w:tcMar>
              <w:top w:type="dxa" w:w="80"/>
              <w:left w:type="dxa" w:w="110"/>
              <w:bottom w:type="dxa" w:w="80"/>
              <w:right w:type="dxa" w:w="110"/>
            </w:tcMar>
          </w:tcPr>
          <w:p>
            <w:pPr>
              <w:spacing w:after="40" w:before="40" w:line="260"/>
            </w:pPr>
            <w:r>
              <w:rPr>
                <w:b w:val="false"/>
                <w:bCs w:val="false"/>
                <w:sz w:val="17"/>
                <w:szCs w:val="17"/>
              </w:rPr>
              <w:t xml:space="preserve">Part E — risk or SSP</w:t>
            </w:r>
          </w:p>
        </w:tc>
        <w:tc>
          <w:tcPr>
            <w:tcW w:type="dxa" w:w="2700"/>
            <w:shd w:fill="F2F5F4" w:val="clear"/>
            <w:tcMar>
              <w:top w:type="dxa" w:w="80"/>
              <w:left w:type="dxa" w:w="110"/>
              <w:bottom w:type="dxa" w:w="80"/>
              <w:right w:type="dxa" w:w="110"/>
            </w:tcMar>
          </w:tcPr>
          <w:p>
            <w:pPr>
              <w:spacing w:after="40" w:before="40" w:line="260"/>
            </w:pPr>
            <w:r>
              <w:rPr>
                <w:b w:val="false"/>
                <w:bCs w:val="false"/>
                <w:sz w:val="17"/>
                <w:szCs w:val="17"/>
              </w:rPr>
              <w:t xml:space="preserve">The part is annotated "Not Risk. But the SSP", yet all three risk questions are answered.</w:t>
            </w:r>
          </w:p>
        </w:tc>
        <w:tc>
          <w:tcPr>
            <w:tcW w:type="dxa" w:w="3120"/>
            <w:shd w:fill="F2F5F4" w:val="clear"/>
            <w:tcMar>
              <w:top w:type="dxa" w:w="80"/>
              <w:left w:type="dxa" w:w="110"/>
              <w:bottom w:type="dxa" w:w="80"/>
              <w:right w:type="dxa" w:w="110"/>
            </w:tcMar>
          </w:tcPr>
          <w:p>
            <w:pPr>
              <w:spacing w:after="40" w:before="40" w:line="260"/>
            </w:pPr>
            <w:r>
              <w:rPr>
                <w:b w:val="false"/>
                <w:bCs w:val="false"/>
                <w:sz w:val="17"/>
                <w:szCs w:val="17"/>
              </w:rPr>
              <w:t xml:space="preserve">Confirm whether the risk layer stays in V1 scope, and whether SSP projection is being raised in priority.</w:t>
            </w:r>
          </w:p>
        </w:tc>
      </w:tr>
      <w:tr>
        <w:tc>
          <w:tcPr>
            <w:tcW w:type="dxa" w:w="700"/>
            <w:tcMar>
              <w:top w:type="dxa" w:w="80"/>
              <w:left w:type="dxa" w:w="110"/>
              <w:bottom w:type="dxa" w:w="80"/>
              <w:right w:type="dxa" w:w="110"/>
            </w:tcMar>
          </w:tcPr>
          <w:p>
            <w:pPr>
              <w:spacing w:after="40" w:before="40" w:line="260"/>
            </w:pPr>
            <w:r>
              <w:rPr>
                <w:b/>
                <w:bCs/>
                <w:sz w:val="17"/>
                <w:szCs w:val="17"/>
              </w:rPr>
              <w:t xml:space="preserve">N9</w:t>
            </w:r>
          </w:p>
        </w:tc>
        <w:tc>
          <w:tcPr>
            <w:tcW w:type="dxa" w:w="2500"/>
            <w:tcMar>
              <w:top w:type="dxa" w:w="80"/>
              <w:left w:type="dxa" w:w="110"/>
              <w:bottom w:type="dxa" w:w="80"/>
              <w:right w:type="dxa" w:w="110"/>
            </w:tcMar>
          </w:tcPr>
          <w:p>
            <w:pPr>
              <w:spacing w:after="40" w:before="40" w:line="260"/>
            </w:pPr>
            <w:r>
              <w:rPr>
                <w:b w:val="false"/>
                <w:bCs w:val="false"/>
                <w:sz w:val="17"/>
                <w:szCs w:val="17"/>
              </w:rPr>
              <w:t xml:space="preserve">Part F — GN level</w:t>
            </w:r>
          </w:p>
        </w:tc>
        <w:tc>
          <w:tcPr>
            <w:tcW w:type="dxa" w:w="2700"/>
            <w:tcMar>
              <w:top w:type="dxa" w:w="80"/>
              <w:left w:type="dxa" w:w="110"/>
              <w:bottom w:type="dxa" w:w="80"/>
              <w:right w:type="dxa" w:w="110"/>
            </w:tcMar>
          </w:tcPr>
          <w:p>
            <w:pPr>
              <w:spacing w:after="40" w:before="40" w:line="260"/>
            </w:pPr>
            <w:r>
              <w:rPr>
                <w:b w:val="false"/>
                <w:bCs w:val="false"/>
                <w:sz w:val="17"/>
                <w:szCs w:val="17"/>
              </w:rPr>
              <w:t xml:space="preserve">The note reads "Give access to GN level (Hazard?)" — a new requirement not in the paper.</w:t>
            </w:r>
          </w:p>
        </w:tc>
        <w:tc>
          <w:tcPr>
            <w:tcW w:type="dxa" w:w="3120"/>
            <w:tcMar>
              <w:top w:type="dxa" w:w="80"/>
              <w:left w:type="dxa" w:w="110"/>
              <w:bottom w:type="dxa" w:w="80"/>
              <w:right w:type="dxa" w:w="110"/>
            </w:tcMar>
          </w:tcPr>
          <w:p>
            <w:pPr>
              <w:spacing w:after="40" w:before="40" w:line="260"/>
            </w:pPr>
            <w:r>
              <w:rPr>
                <w:b w:val="false"/>
                <w:bCs w:val="false"/>
                <w:sz w:val="17"/>
                <w:szCs w:val="17"/>
              </w:rPr>
              <w:t xml:space="preserve">Clarify whether this affects the community rating key, the map display level, or both. V1 assesses at DS division; GND is 14,019 units and O-8 remains open on whether GND data exists.</w:t>
            </w:r>
          </w:p>
        </w:tc>
      </w:tr>
    </w:tbl>
    <w:p>
      <w:pPr>
        <w:pageBreakBefore/>
      </w:pPr>
    </w:p>
    <w:p>
      <w:pPr>
        <w:pStyle w:val="Heading1"/>
      </w:pPr>
      <w:r>
        <w:t xml:space="preserve">Changes required to SRS v1.3</w:t>
      </w:r>
    </w:p>
    <w:p>
      <w:pPr>
        <w:spacing w:after="120" w:line="276"/>
      </w:pPr>
      <w:r>
        <w:t xml:space="preserve">Assuming Part 1 is written in and Part 2 is accepted. Items depending on Part 3 are marked as held.</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1700"/>
        <w:gridCol w:w="4100"/>
        <w:gridCol w:w="3220"/>
      </w:tblGrid>
      <w:tr>
        <w:trPr>
          <w:tblHeader/>
        </w:trPr>
        <w:tc>
          <w:tcPr>
            <w:tcW w:type="dxa" w:w="1700"/>
            <w:shd w:fill="1C3F35" w:val="clear"/>
            <w:tcMar>
              <w:top w:type="dxa" w:w="80"/>
              <w:left w:type="dxa" w:w="110"/>
              <w:bottom w:type="dxa" w:w="80"/>
              <w:right w:type="dxa" w:w="110"/>
            </w:tcMar>
          </w:tcPr>
          <w:p>
            <w:pPr>
              <w:spacing w:after="40" w:before="40" w:line="260"/>
            </w:pPr>
            <w:r>
              <w:rPr>
                <w:b/>
                <w:bCs/>
                <w:color w:val="FFFFFF"/>
                <w:sz w:val="19"/>
                <w:szCs w:val="19"/>
              </w:rPr>
              <w:t xml:space="preserve">Section</w:t>
            </w:r>
          </w:p>
        </w:tc>
        <w:tc>
          <w:tcPr>
            <w:tcW w:type="dxa" w:w="4100"/>
            <w:shd w:fill="1C3F35" w:val="clear"/>
            <w:tcMar>
              <w:top w:type="dxa" w:w="80"/>
              <w:left w:type="dxa" w:w="110"/>
              <w:bottom w:type="dxa" w:w="80"/>
              <w:right w:type="dxa" w:w="110"/>
            </w:tcMar>
          </w:tcPr>
          <w:p>
            <w:pPr>
              <w:spacing w:after="40" w:before="40" w:line="260"/>
            </w:pPr>
            <w:r>
              <w:rPr>
                <w:b/>
                <w:bCs/>
                <w:color w:val="FFFFFF"/>
                <w:sz w:val="19"/>
                <w:szCs w:val="19"/>
              </w:rPr>
              <w:t xml:space="preserve">Change</w:t>
            </w:r>
          </w:p>
        </w:tc>
        <w:tc>
          <w:tcPr>
            <w:tcW w:type="dxa" w:w="3220"/>
            <w:shd w:fill="1C3F35" w:val="clear"/>
            <w:tcMar>
              <w:top w:type="dxa" w:w="80"/>
              <w:left w:type="dxa" w:w="110"/>
              <w:bottom w:type="dxa" w:w="80"/>
              <w:right w:type="dxa" w:w="110"/>
            </w:tcMar>
          </w:tcPr>
          <w:p>
            <w:pPr>
              <w:spacing w:after="40" w:before="40" w:line="260"/>
            </w:pPr>
            <w:r>
              <w:rPr>
                <w:b/>
                <w:bCs/>
                <w:color w:val="FFFFFF"/>
                <w:sz w:val="19"/>
                <w:szCs w:val="19"/>
              </w:rPr>
              <w:t xml:space="preserve">Source</w:t>
            </w:r>
          </w:p>
        </w:tc>
      </w:tr>
      <w:tr>
        <w:tc>
          <w:tcPr>
            <w:tcW w:type="dxa" w:w="1700"/>
            <w:tcMar>
              <w:top w:type="dxa" w:w="80"/>
              <w:left w:type="dxa" w:w="110"/>
              <w:bottom w:type="dxa" w:w="80"/>
              <w:right w:type="dxa" w:w="110"/>
            </w:tcMar>
          </w:tcPr>
          <w:p>
            <w:pPr>
              <w:spacing w:after="40" w:before="40" w:line="260"/>
            </w:pPr>
            <w:r>
              <w:rPr>
                <w:b/>
                <w:bCs/>
                <w:sz w:val="17"/>
                <w:szCs w:val="17"/>
              </w:rPr>
              <w:t xml:space="preserve">§2.1</w:t>
            </w:r>
          </w:p>
        </w:tc>
        <w:tc>
          <w:tcPr>
            <w:tcW w:type="dxa" w:w="4100"/>
            <w:tcMar>
              <w:top w:type="dxa" w:w="80"/>
              <w:left w:type="dxa" w:w="110"/>
              <w:bottom w:type="dxa" w:w="80"/>
              <w:right w:type="dxa" w:w="110"/>
            </w:tcMar>
          </w:tcPr>
          <w:p>
            <w:pPr>
              <w:spacing w:after="40" w:before="40" w:line="260"/>
            </w:pPr>
            <w:r>
              <w:rPr>
                <w:b w:val="false"/>
                <w:bCs w:val="false"/>
                <w:sz w:val="17"/>
                <w:szCs w:val="17"/>
              </w:rPr>
              <w:t xml:space="preserve">Define f as the geometric mean of the two indices. Correct the scale statement: with weights totalling 100 and normalised values in [0, 1], the weighted sum lies in [0, 100], so the division by 100 must be written or the indices reported on 0–100.</w:t>
            </w:r>
          </w:p>
        </w:tc>
        <w:tc>
          <w:tcPr>
            <w:tcW w:type="dxa" w:w="3220"/>
            <w:tcMar>
              <w:top w:type="dxa" w:w="80"/>
              <w:left w:type="dxa" w:w="110"/>
              <w:bottom w:type="dxa" w:w="80"/>
              <w:right w:type="dxa" w:w="110"/>
            </w:tcMar>
          </w:tcPr>
          <w:p>
            <w:pPr>
              <w:spacing w:after="40" w:before="40" w:line="260"/>
            </w:pPr>
            <w:r>
              <w:rPr>
                <w:b w:val="false"/>
                <w:bCs w:val="false"/>
                <w:sz w:val="17"/>
                <w:szCs w:val="17"/>
              </w:rPr>
              <w:t xml:space="preserve">R1</w:t>
            </w:r>
          </w:p>
        </w:tc>
      </w:tr>
      <w:tr>
        <w:tc>
          <w:tcPr>
            <w:tcW w:type="dxa" w:w="1700"/>
            <w:shd w:fill="F2F5F4" w:val="clear"/>
            <w:tcMar>
              <w:top w:type="dxa" w:w="80"/>
              <w:left w:type="dxa" w:w="110"/>
              <w:bottom w:type="dxa" w:w="80"/>
              <w:right w:type="dxa" w:w="110"/>
            </w:tcMar>
          </w:tcPr>
          <w:p>
            <w:pPr>
              <w:spacing w:after="40" w:before="40" w:line="260"/>
            </w:pPr>
            <w:r>
              <w:rPr>
                <w:b/>
                <w:bCs/>
                <w:sz w:val="17"/>
                <w:szCs w:val="17"/>
              </w:rPr>
              <w:t xml:space="preserve">§2.4</w:t>
            </w:r>
          </w:p>
        </w:tc>
        <w:tc>
          <w:tcPr>
            <w:tcW w:type="dxa" w:w="4100"/>
            <w:shd w:fill="F2F5F4" w:val="clear"/>
            <w:tcMar>
              <w:top w:type="dxa" w:w="80"/>
              <w:left w:type="dxa" w:w="110"/>
              <w:bottom w:type="dxa" w:w="80"/>
              <w:right w:type="dxa" w:w="110"/>
            </w:tcMar>
          </w:tcPr>
          <w:p>
            <w:pPr>
              <w:spacing w:after="40" w:before="40" w:line="260"/>
            </w:pPr>
            <w:r>
              <w:rPr>
                <w:b w:val="false"/>
                <w:bCs w:val="false"/>
                <w:sz w:val="17"/>
                <w:szCs w:val="17"/>
              </w:rPr>
              <w:t xml:space="preserve">Record B1 and B3 as ratified. Add the granularity rule from B4.</w:t>
            </w:r>
          </w:p>
        </w:tc>
        <w:tc>
          <w:tcPr>
            <w:tcW w:type="dxa" w:w="3220"/>
            <w:shd w:fill="F2F5F4" w:val="clear"/>
            <w:tcMar>
              <w:top w:type="dxa" w:w="80"/>
              <w:left w:type="dxa" w:w="110"/>
              <w:bottom w:type="dxa" w:w="80"/>
              <w:right w:type="dxa" w:w="110"/>
            </w:tcMar>
          </w:tcPr>
          <w:p>
            <w:pPr>
              <w:spacing w:after="40" w:before="40" w:line="260"/>
            </w:pPr>
            <w:r>
              <w:rPr>
                <w:b w:val="false"/>
                <w:bCs w:val="false"/>
                <w:sz w:val="17"/>
                <w:szCs w:val="17"/>
              </w:rPr>
              <w:t xml:space="preserve">Part 1</w:t>
            </w:r>
          </w:p>
        </w:tc>
      </w:tr>
      <w:tr>
        <w:tc>
          <w:tcPr>
            <w:tcW w:type="dxa" w:w="1700"/>
            <w:tcMar>
              <w:top w:type="dxa" w:w="80"/>
              <w:left w:type="dxa" w:w="110"/>
              <w:bottom w:type="dxa" w:w="80"/>
              <w:right w:type="dxa" w:w="110"/>
            </w:tcMar>
          </w:tcPr>
          <w:p>
            <w:pPr>
              <w:spacing w:after="40" w:before="40" w:line="260"/>
            </w:pPr>
            <w:r>
              <w:rPr>
                <w:b/>
                <w:bCs/>
                <w:sz w:val="17"/>
                <w:szCs w:val="17"/>
              </w:rPr>
              <w:t xml:space="preserve">§6.4</w:t>
            </w:r>
          </w:p>
        </w:tc>
        <w:tc>
          <w:tcPr>
            <w:tcW w:type="dxa" w:w="4100"/>
            <w:tcMar>
              <w:top w:type="dxa" w:w="80"/>
              <w:left w:type="dxa" w:w="110"/>
              <w:bottom w:type="dxa" w:w="80"/>
              <w:right w:type="dxa" w:w="110"/>
            </w:tcMar>
          </w:tcPr>
          <w:p>
            <w:pPr>
              <w:spacing w:after="40" w:before="40" w:line="260"/>
            </w:pPr>
            <w:r>
              <w:rPr>
                <w:b w:val="false"/>
                <w:bCs w:val="false"/>
                <w:sz w:val="17"/>
                <w:szCs w:val="17"/>
              </w:rPr>
              <w:t xml:space="preserve">Add FR-4.3b — national normalisation bounds. Amend FR-4.9 to prefer fixed bounds over holding.</w:t>
            </w:r>
          </w:p>
        </w:tc>
        <w:tc>
          <w:tcPr>
            <w:tcW w:type="dxa" w:w="3220"/>
            <w:tcMar>
              <w:top w:type="dxa" w:w="80"/>
              <w:left w:type="dxa" w:w="110"/>
              <w:bottom w:type="dxa" w:w="80"/>
              <w:right w:type="dxa" w:w="110"/>
            </w:tcMar>
          </w:tcPr>
          <w:p>
            <w:pPr>
              <w:spacing w:after="40" w:before="40" w:line="260"/>
            </w:pPr>
            <w:r>
              <w:rPr>
                <w:b w:val="false"/>
                <w:bCs w:val="false"/>
                <w:sz w:val="17"/>
                <w:szCs w:val="17"/>
              </w:rPr>
              <w:t xml:space="preserve">R2, R3</w:t>
            </w:r>
          </w:p>
        </w:tc>
      </w:tr>
      <w:tr>
        <w:tc>
          <w:tcPr>
            <w:tcW w:type="dxa" w:w="1700"/>
            <w:shd w:fill="F2F5F4" w:val="clear"/>
            <w:tcMar>
              <w:top w:type="dxa" w:w="80"/>
              <w:left w:type="dxa" w:w="110"/>
              <w:bottom w:type="dxa" w:w="80"/>
              <w:right w:type="dxa" w:w="110"/>
            </w:tcMar>
          </w:tcPr>
          <w:p>
            <w:pPr>
              <w:spacing w:after="40" w:before="40" w:line="260"/>
            </w:pPr>
            <w:r>
              <w:rPr>
                <w:b/>
                <w:bCs/>
                <w:sz w:val="17"/>
                <w:szCs w:val="17"/>
              </w:rPr>
              <w:t xml:space="preserve">§6.4</w:t>
            </w:r>
          </w:p>
        </w:tc>
        <w:tc>
          <w:tcPr>
            <w:tcW w:type="dxa" w:w="4100"/>
            <w:shd w:fill="F2F5F4" w:val="clear"/>
            <w:tcMar>
              <w:top w:type="dxa" w:w="80"/>
              <w:left w:type="dxa" w:w="110"/>
              <w:bottom w:type="dxa" w:w="80"/>
              <w:right w:type="dxa" w:w="110"/>
            </w:tcMar>
          </w:tcPr>
          <w:p>
            <w:pPr>
              <w:spacing w:after="40" w:before="40" w:line="260"/>
            </w:pPr>
            <w:r>
              <w:rPr>
                <w:b w:val="false"/>
                <w:bCs w:val="false"/>
                <w:sz w:val="17"/>
                <w:szCs w:val="17"/>
              </w:rPr>
              <w:t xml:space="preserve">Add FR-4.4b — a variable must use one granularity across the divisions of a profile; mixed input rejected at import.</w:t>
            </w:r>
          </w:p>
        </w:tc>
        <w:tc>
          <w:tcPr>
            <w:tcW w:type="dxa" w:w="3220"/>
            <w:shd w:fill="F2F5F4" w:val="clear"/>
            <w:tcMar>
              <w:top w:type="dxa" w:w="80"/>
              <w:left w:type="dxa" w:w="110"/>
              <w:bottom w:type="dxa" w:w="80"/>
              <w:right w:type="dxa" w:w="110"/>
            </w:tcMar>
          </w:tcPr>
          <w:p>
            <w:pPr>
              <w:spacing w:after="40" w:before="40" w:line="260"/>
            </w:pPr>
            <w:r>
              <w:rPr>
                <w:b w:val="false"/>
                <w:bCs w:val="false"/>
                <w:sz w:val="17"/>
                <w:szCs w:val="17"/>
              </w:rPr>
              <w:t xml:space="preserve">B4</w:t>
            </w:r>
          </w:p>
        </w:tc>
      </w:tr>
      <w:tr>
        <w:tc>
          <w:tcPr>
            <w:tcW w:type="dxa" w:w="1700"/>
            <w:tcMar>
              <w:top w:type="dxa" w:w="80"/>
              <w:left w:type="dxa" w:w="110"/>
              <w:bottom w:type="dxa" w:w="80"/>
              <w:right w:type="dxa" w:w="110"/>
            </w:tcMar>
          </w:tcPr>
          <w:p>
            <w:pPr>
              <w:spacing w:after="40" w:before="40" w:line="260"/>
            </w:pPr>
            <w:r>
              <w:rPr>
                <w:b/>
                <w:bCs/>
                <w:sz w:val="17"/>
                <w:szCs w:val="17"/>
              </w:rPr>
              <w:t xml:space="preserve">§6.5</w:t>
            </w:r>
          </w:p>
        </w:tc>
        <w:tc>
          <w:tcPr>
            <w:tcW w:type="dxa" w:w="4100"/>
            <w:tcMar>
              <w:top w:type="dxa" w:w="80"/>
              <w:left w:type="dxa" w:w="110"/>
              <w:bottom w:type="dxa" w:w="80"/>
              <w:right w:type="dxa" w:w="110"/>
            </w:tcMar>
          </w:tcPr>
          <w:p>
            <w:pPr>
              <w:spacing w:after="40" w:before="40" w:line="260"/>
            </w:pPr>
            <w:r>
              <w:rPr>
                <w:b w:val="false"/>
                <w:bCs w:val="false"/>
                <w:sz w:val="17"/>
                <w:szCs w:val="17"/>
              </w:rPr>
              <w:t xml:space="preserve">Note that Figure 6's coastal proximity figures are centroid-based.</w:t>
            </w:r>
          </w:p>
        </w:tc>
        <w:tc>
          <w:tcPr>
            <w:tcW w:type="dxa" w:w="3220"/>
            <w:tcMar>
              <w:top w:type="dxa" w:w="80"/>
              <w:left w:type="dxa" w:w="110"/>
              <w:bottom w:type="dxa" w:w="80"/>
              <w:right w:type="dxa" w:w="110"/>
            </w:tcMar>
          </w:tcPr>
          <w:p>
            <w:pPr>
              <w:spacing w:after="40" w:before="40" w:line="260"/>
            </w:pPr>
            <w:r>
              <w:rPr>
                <w:b w:val="false"/>
                <w:bCs w:val="false"/>
                <w:sz w:val="17"/>
                <w:szCs w:val="17"/>
              </w:rPr>
              <w:t xml:space="preserve">D3</w:t>
            </w:r>
          </w:p>
        </w:tc>
      </w:tr>
      <w:tr>
        <w:tc>
          <w:tcPr>
            <w:tcW w:type="dxa" w:w="1700"/>
            <w:shd w:fill="F2F5F4" w:val="clear"/>
            <w:tcMar>
              <w:top w:type="dxa" w:w="80"/>
              <w:left w:type="dxa" w:w="110"/>
              <w:bottom w:type="dxa" w:w="80"/>
              <w:right w:type="dxa" w:w="110"/>
            </w:tcMar>
          </w:tcPr>
          <w:p>
            <w:pPr>
              <w:spacing w:after="40" w:before="40" w:line="260"/>
            </w:pPr>
            <w:r>
              <w:rPr>
                <w:b/>
                <w:bCs/>
                <w:sz w:val="17"/>
                <w:szCs w:val="17"/>
              </w:rPr>
              <w:t xml:space="preserve">§6.7</w:t>
            </w:r>
          </w:p>
        </w:tc>
        <w:tc>
          <w:tcPr>
            <w:tcW w:type="dxa" w:w="4100"/>
            <w:shd w:fill="F2F5F4" w:val="clear"/>
            <w:tcMar>
              <w:top w:type="dxa" w:w="80"/>
              <w:left w:type="dxa" w:w="110"/>
              <w:bottom w:type="dxa" w:w="80"/>
              <w:right w:type="dxa" w:w="110"/>
            </w:tcMar>
          </w:tcPr>
          <w:p>
            <w:pPr>
              <w:spacing w:after="40" w:before="40" w:line="260"/>
            </w:pPr>
            <w:r>
              <w:rPr>
                <w:b w:val="false"/>
                <w:bCs w:val="false"/>
                <w:sz w:val="17"/>
                <w:szCs w:val="17"/>
              </w:rPr>
              <w:t xml:space="preserve">Add the layer coverage declaration required by D2. Record that a two-layer operation is needed for the fourteen hazard-intersection variables.</w:t>
            </w:r>
          </w:p>
        </w:tc>
        <w:tc>
          <w:tcPr>
            <w:tcW w:type="dxa" w:w="3220"/>
            <w:shd w:fill="F2F5F4" w:val="clear"/>
            <w:tcMar>
              <w:top w:type="dxa" w:w="80"/>
              <w:left w:type="dxa" w:w="110"/>
              <w:bottom w:type="dxa" w:w="80"/>
              <w:right w:type="dxa" w:w="110"/>
            </w:tcMar>
          </w:tcPr>
          <w:p>
            <w:pPr>
              <w:spacing w:after="40" w:before="40" w:line="260"/>
            </w:pPr>
            <w:r>
              <w:rPr>
                <w:b w:val="false"/>
                <w:bCs w:val="false"/>
                <w:sz w:val="17"/>
                <w:szCs w:val="17"/>
              </w:rPr>
              <w:t xml:space="preserve">D2, held on N7</w:t>
            </w:r>
          </w:p>
        </w:tc>
      </w:tr>
      <w:tr>
        <w:tc>
          <w:tcPr>
            <w:tcW w:type="dxa" w:w="1700"/>
            <w:tcMar>
              <w:top w:type="dxa" w:w="80"/>
              <w:left w:type="dxa" w:w="110"/>
              <w:bottom w:type="dxa" w:w="80"/>
              <w:right w:type="dxa" w:w="110"/>
            </w:tcMar>
          </w:tcPr>
          <w:p>
            <w:pPr>
              <w:spacing w:after="40" w:before="40" w:line="260"/>
            </w:pPr>
            <w:r>
              <w:rPr>
                <w:b/>
                <w:bCs/>
                <w:sz w:val="17"/>
                <w:szCs w:val="17"/>
              </w:rPr>
              <w:t xml:space="preserve">§6.12</w:t>
            </w:r>
          </w:p>
        </w:tc>
        <w:tc>
          <w:tcPr>
            <w:tcW w:type="dxa" w:w="4100"/>
            <w:tcMar>
              <w:top w:type="dxa" w:w="80"/>
              <w:left w:type="dxa" w:w="110"/>
              <w:bottom w:type="dxa" w:w="80"/>
              <w:right w:type="dxa" w:w="110"/>
            </w:tcMar>
          </w:tcPr>
          <w:p>
            <w:pPr>
              <w:spacing w:after="40" w:before="40" w:line="260"/>
            </w:pPr>
            <w:r>
              <w:rPr>
                <w:b w:val="false"/>
                <w:bCs w:val="false"/>
                <w:sz w:val="17"/>
                <w:szCs w:val="17"/>
              </w:rPr>
              <w:t xml:space="preserve">State the five bands with half-open intervals.</w:t>
            </w:r>
          </w:p>
        </w:tc>
        <w:tc>
          <w:tcPr>
            <w:tcW w:type="dxa" w:w="3220"/>
            <w:tcMar>
              <w:top w:type="dxa" w:w="80"/>
              <w:left w:type="dxa" w:w="110"/>
              <w:bottom w:type="dxa" w:w="80"/>
              <w:right w:type="dxa" w:w="110"/>
            </w:tcMar>
          </w:tcPr>
          <w:p>
            <w:pPr>
              <w:spacing w:after="40" w:before="40" w:line="260"/>
            </w:pPr>
            <w:r>
              <w:rPr>
                <w:b w:val="false"/>
                <w:bCs w:val="false"/>
                <w:sz w:val="17"/>
                <w:szCs w:val="17"/>
              </w:rPr>
              <w:t xml:space="preserve">R4</w:t>
            </w:r>
          </w:p>
        </w:tc>
      </w:tr>
      <w:tr>
        <w:tc>
          <w:tcPr>
            <w:tcW w:type="dxa" w:w="1700"/>
            <w:shd w:fill="F2F5F4" w:val="clear"/>
            <w:tcMar>
              <w:top w:type="dxa" w:w="80"/>
              <w:left w:type="dxa" w:w="110"/>
              <w:bottom w:type="dxa" w:w="80"/>
              <w:right w:type="dxa" w:w="110"/>
            </w:tcMar>
          </w:tcPr>
          <w:p>
            <w:pPr>
              <w:spacing w:after="40" w:before="40" w:line="260"/>
            </w:pPr>
            <w:r>
              <w:rPr>
                <w:b/>
                <w:bCs/>
                <w:sz w:val="17"/>
                <w:szCs w:val="17"/>
              </w:rPr>
              <w:t xml:space="preserve">§11</w:t>
            </w:r>
          </w:p>
        </w:tc>
        <w:tc>
          <w:tcPr>
            <w:tcW w:type="dxa" w:w="4100"/>
            <w:shd w:fill="F2F5F4" w:val="clear"/>
            <w:tcMar>
              <w:top w:type="dxa" w:w="80"/>
              <w:left w:type="dxa" w:w="110"/>
              <w:bottom w:type="dxa" w:w="80"/>
              <w:right w:type="dxa" w:w="110"/>
            </w:tcMar>
          </w:tcPr>
          <w:p>
            <w:pPr>
              <w:spacing w:after="40" w:before="40" w:line="260"/>
            </w:pPr>
            <w:r>
              <w:rPr>
                <w:b w:val="false"/>
                <w:bCs w:val="false"/>
                <w:sz w:val="17"/>
                <w:szCs w:val="17"/>
              </w:rPr>
              <w:t xml:space="preserve">Close O-2. Restate O-1 as a re-weighting of 243 profiles rather than 1,783 blanks. Restate O-11 to record that POPULATION and FACILITY are unregistered, not merely unloaded.</w:t>
            </w:r>
          </w:p>
        </w:tc>
        <w:tc>
          <w:tcPr>
            <w:tcW w:type="dxa" w:w="3220"/>
            <w:shd w:fill="F2F5F4" w:val="clear"/>
            <w:tcMar>
              <w:top w:type="dxa" w:w="80"/>
              <w:left w:type="dxa" w:w="110"/>
              <w:bottom w:type="dxa" w:w="80"/>
              <w:right w:type="dxa" w:w="110"/>
            </w:tcMar>
          </w:tcPr>
          <w:p>
            <w:pPr>
              <w:spacing w:after="40" w:before="40" w:line="260"/>
            </w:pPr>
            <w:r>
              <w:rPr>
                <w:b w:val="false"/>
                <w:bCs w:val="false"/>
                <w:sz w:val="17"/>
                <w:szCs w:val="17"/>
              </w:rPr>
              <w:t xml:space="preserve">Part 1, N2</w:t>
            </w:r>
          </w:p>
        </w:tc>
      </w:tr>
      <w:tr>
        <w:tc>
          <w:tcPr>
            <w:tcW w:type="dxa" w:w="1700"/>
            <w:tcMar>
              <w:top w:type="dxa" w:w="80"/>
              <w:left w:type="dxa" w:w="110"/>
              <w:bottom w:type="dxa" w:w="80"/>
              <w:right w:type="dxa" w:w="110"/>
            </w:tcMar>
          </w:tcPr>
          <w:p>
            <w:pPr>
              <w:spacing w:after="40" w:before="40" w:line="260"/>
            </w:pPr>
            <w:r>
              <w:rPr>
                <w:b/>
                <w:bCs/>
                <w:sz w:val="17"/>
                <w:szCs w:val="17"/>
              </w:rPr>
              <w:t xml:space="preserve">§4, FR-5.1</w:t>
            </w:r>
          </w:p>
        </w:tc>
        <w:tc>
          <w:tcPr>
            <w:tcW w:type="dxa" w:w="4100"/>
            <w:tcMar>
              <w:top w:type="dxa" w:w="80"/>
              <w:left w:type="dxa" w:w="110"/>
              <w:bottom w:type="dxa" w:w="80"/>
              <w:right w:type="dxa" w:w="110"/>
            </w:tcMar>
          </w:tcPr>
          <w:p>
            <w:pPr>
              <w:spacing w:after="40" w:before="40" w:line="260"/>
            </w:pPr>
            <w:r>
              <w:rPr>
                <w:b w:val="false"/>
                <w:bCs w:val="false"/>
                <w:sz w:val="17"/>
                <w:szCs w:val="17"/>
              </w:rPr>
              <w:t xml:space="preserve">Correct the map library from MapLibre GL to OpenLayers.</w:t>
            </w:r>
          </w:p>
        </w:tc>
        <w:tc>
          <w:tcPr>
            <w:tcW w:type="dxa" w:w="3220"/>
            <w:tcMar>
              <w:top w:type="dxa" w:w="80"/>
              <w:left w:type="dxa" w:w="110"/>
              <w:bottom w:type="dxa" w:w="80"/>
              <w:right w:type="dxa" w:w="110"/>
            </w:tcMar>
          </w:tcPr>
          <w:p>
            <w:pPr>
              <w:spacing w:after="40" w:before="40" w:line="260"/>
            </w:pPr>
            <w:r>
              <w:rPr>
                <w:b w:val="false"/>
                <w:bCs w:val="false"/>
                <w:sz w:val="17"/>
                <w:szCs w:val="17"/>
              </w:rPr>
              <w:t xml:space="preserve">Owner, 1 August 2026</w:t>
            </w:r>
          </w:p>
        </w:tc>
      </w:tr>
      <w:tr>
        <w:tc>
          <w:tcPr>
            <w:tcW w:type="dxa" w:w="1700"/>
            <w:shd w:fill="F2F5F4" w:val="clear"/>
            <w:tcMar>
              <w:top w:type="dxa" w:w="80"/>
              <w:left w:type="dxa" w:w="110"/>
              <w:bottom w:type="dxa" w:w="80"/>
              <w:right w:type="dxa" w:w="110"/>
            </w:tcMar>
          </w:tcPr>
          <w:p>
            <w:pPr>
              <w:spacing w:after="40" w:before="40" w:line="260"/>
            </w:pPr>
            <w:r>
              <w:rPr>
                <w:b/>
                <w:bCs/>
                <w:sz w:val="17"/>
                <w:szCs w:val="17"/>
              </w:rPr>
              <w:t xml:space="preserve">Annex A.2</w:t>
            </w:r>
          </w:p>
        </w:tc>
        <w:tc>
          <w:tcPr>
            <w:tcW w:type="dxa" w:w="4100"/>
            <w:shd w:fill="F2F5F4" w:val="clear"/>
            <w:tcMar>
              <w:top w:type="dxa" w:w="80"/>
              <w:left w:type="dxa" w:w="110"/>
              <w:bottom w:type="dxa" w:w="80"/>
              <w:right w:type="dxa" w:w="110"/>
            </w:tcMar>
          </w:tcPr>
          <w:p>
            <w:pPr>
              <w:spacing w:after="40" w:before="40" w:line="260"/>
            </w:pPr>
            <w:r>
              <w:rPr>
                <w:b w:val="false"/>
                <w:bCs w:val="false"/>
                <w:sz w:val="17"/>
                <w:szCs w:val="17"/>
              </w:rPr>
              <w:t xml:space="preserve">Rebuild the prototype screen with real boundaries, the coverage statement, the period selector and distinct unassessed and pending rendering.</w:t>
            </w:r>
          </w:p>
        </w:tc>
        <w:tc>
          <w:tcPr>
            <w:tcW w:type="dxa" w:w="3220"/>
            <w:shd w:fill="F2F5F4" w:val="clear"/>
            <w:tcMar>
              <w:top w:type="dxa" w:w="80"/>
              <w:left w:type="dxa" w:w="110"/>
              <w:bottom w:type="dxa" w:w="80"/>
              <w:right w:type="dxa" w:w="110"/>
            </w:tcMar>
          </w:tcPr>
          <w:p>
            <w:pPr>
              <w:spacing w:after="40" w:before="40" w:line="260"/>
            </w:pPr>
            <w:r>
              <w:rPr>
                <w:b w:val="false"/>
                <w:bCs w:val="false"/>
                <w:sz w:val="17"/>
                <w:szCs w:val="17"/>
              </w:rPr>
              <w:t xml:space="preserve">Owner, 1 August 2026</w:t>
            </w:r>
          </w:p>
        </w:tc>
      </w:tr>
    </w:tbl>
    <w:p>
      <w:pPr>
        <w:spacing w:after="160"/>
      </w:pPr>
    </w:p>
    <w:p>
      <w:pPr>
        <w:pStyle w:val="Heading1"/>
      </w:pPr>
      <w:r>
        <w:t xml:space="preserve">Decision log</w:t>
      </w:r>
    </w:p>
    <w:p>
      <w:pPr>
        <w:spacing w:after="160"/>
      </w:pPr>
    </w:p>
    <w:tbl>
      <w:tblPr>
        <w:tblW w:type="dxa" w:w="9020"/>
        <w:tblBorders>
          <w:top w:val="single" w:color="C9D2CF" w:sz="2"/>
          <w:left w:val="single" w:color="C9D2CF" w:sz="2"/>
          <w:bottom w:val="single" w:color="C9D2CF" w:sz="2"/>
          <w:right w:val="single" w:color="C9D2CF" w:sz="2"/>
          <w:insideH w:val="single" w:color="C9D2CF" w:sz="2"/>
          <w:insideV w:val="single" w:color="C9D2CF" w:sz="2"/>
        </w:tblBorders>
      </w:tblPr>
      <w:tblGrid>
        <w:gridCol w:w="700"/>
        <w:gridCol w:w="3400"/>
        <w:gridCol w:w="2300"/>
        <w:gridCol w:w="1310"/>
        <w:gridCol w:w="1310"/>
      </w:tblGrid>
      <w:tr>
        <w:trPr>
          <w:tblHeader/>
        </w:trPr>
        <w:tc>
          <w:tcPr>
            <w:tcW w:type="dxa" w:w="700"/>
            <w:shd w:fill="1C3F35" w:val="clear"/>
            <w:tcMar>
              <w:top w:type="dxa" w:w="80"/>
              <w:left w:type="dxa" w:w="110"/>
              <w:bottom w:type="dxa" w:w="80"/>
              <w:right w:type="dxa" w:w="110"/>
            </w:tcMar>
          </w:tcPr>
          <w:p>
            <w:pPr>
              <w:spacing w:after="40" w:before="40" w:line="260"/>
            </w:pPr>
            <w:r>
              <w:rPr>
                <w:b/>
                <w:bCs/>
                <w:color w:val="FFFFFF"/>
                <w:sz w:val="19"/>
                <w:szCs w:val="19"/>
              </w:rPr>
              <w:t xml:space="preserve">ID</w:t>
            </w:r>
          </w:p>
        </w:tc>
        <w:tc>
          <w:tcPr>
            <w:tcW w:type="dxa" w:w="3400"/>
            <w:shd w:fill="1C3F35" w:val="clear"/>
            <w:tcMar>
              <w:top w:type="dxa" w:w="80"/>
              <w:left w:type="dxa" w:w="110"/>
              <w:bottom w:type="dxa" w:w="80"/>
              <w:right w:type="dxa" w:w="110"/>
            </w:tcMar>
          </w:tcPr>
          <w:p>
            <w:pPr>
              <w:spacing w:after="40" w:before="40" w:line="260"/>
            </w:pPr>
            <w:r>
              <w:rPr>
                <w:b/>
                <w:bCs/>
                <w:color w:val="FFFFFF"/>
                <w:sz w:val="19"/>
                <w:szCs w:val="19"/>
              </w:rPr>
              <w:t xml:space="preserve">Item</w:t>
            </w:r>
          </w:p>
        </w:tc>
        <w:tc>
          <w:tcPr>
            <w:tcW w:type="dxa" w:w="2300"/>
            <w:shd w:fill="1C3F35" w:val="clear"/>
            <w:tcMar>
              <w:top w:type="dxa" w:w="80"/>
              <w:left w:type="dxa" w:w="110"/>
              <w:bottom w:type="dxa" w:w="80"/>
              <w:right w:type="dxa" w:w="110"/>
            </w:tcMar>
          </w:tcPr>
          <w:p>
            <w:pPr>
              <w:spacing w:after="40" w:before="40" w:line="260"/>
            </w:pPr>
            <w:r>
              <w:rPr>
                <w:b/>
                <w:bCs/>
                <w:color w:val="FFFFFF"/>
                <w:sz w:val="19"/>
                <w:szCs w:val="19"/>
              </w:rPr>
              <w:t xml:space="preserve">Decision</w:t>
            </w:r>
          </w:p>
        </w:tc>
        <w:tc>
          <w:tcPr>
            <w:tcW w:type="dxa" w:w="1310"/>
            <w:shd w:fill="1C3F35" w:val="clear"/>
            <w:tcMar>
              <w:top w:type="dxa" w:w="80"/>
              <w:left w:type="dxa" w:w="110"/>
              <w:bottom w:type="dxa" w:w="80"/>
              <w:right w:type="dxa" w:w="110"/>
            </w:tcMar>
          </w:tcPr>
          <w:p>
            <w:pPr>
              <w:spacing w:after="40" w:before="40" w:line="260"/>
            </w:pPr>
            <w:r>
              <w:rPr>
                <w:b/>
                <w:bCs/>
                <w:color w:val="FFFFFF"/>
                <w:sz w:val="19"/>
                <w:szCs w:val="19"/>
              </w:rPr>
              <w:t xml:space="preserve">By</w:t>
            </w:r>
          </w:p>
        </w:tc>
        <w:tc>
          <w:tcPr>
            <w:tcW w:type="dxa" w:w="1310"/>
            <w:shd w:fill="1C3F35" w:val="clear"/>
            <w:tcMar>
              <w:top w:type="dxa" w:w="80"/>
              <w:left w:type="dxa" w:w="110"/>
              <w:bottom w:type="dxa" w:w="80"/>
              <w:right w:type="dxa" w:w="110"/>
            </w:tcMar>
          </w:tcPr>
          <w:p>
            <w:pPr>
              <w:spacing w:after="40" w:before="40" w:line="260"/>
            </w:pPr>
            <w:r>
              <w:rPr>
                <w:b/>
                <w:bCs/>
                <w:color w:val="FFFFFF"/>
                <w:sz w:val="19"/>
                <w:szCs w:val="19"/>
              </w:rPr>
              <w:t xml:space="preserve">Date</w:t>
            </w:r>
          </w:p>
        </w:tc>
      </w:tr>
      <w:tr>
        <w:tc>
          <w:tcPr>
            <w:tcW w:type="dxa" w:w="700"/>
            <w:tcMar>
              <w:top w:type="dxa" w:w="80"/>
              <w:left w:type="dxa" w:w="110"/>
              <w:bottom w:type="dxa" w:w="80"/>
              <w:right w:type="dxa" w:w="110"/>
            </w:tcMar>
          </w:tcPr>
          <w:p>
            <w:pPr>
              <w:spacing w:after="40" w:before="40" w:line="260"/>
            </w:pPr>
            <w:r>
              <w:rPr>
                <w:b/>
                <w:bCs/>
                <w:sz w:val="18"/>
                <w:szCs w:val="18"/>
              </w:rPr>
              <w:t xml:space="preserve">R1</w:t>
            </w:r>
          </w:p>
        </w:tc>
        <w:tc>
          <w:tcPr>
            <w:tcW w:type="dxa" w:w="3400"/>
            <w:tcMar>
              <w:top w:type="dxa" w:w="80"/>
              <w:left w:type="dxa" w:w="110"/>
              <w:bottom w:type="dxa" w:w="80"/>
              <w:right w:type="dxa" w:w="110"/>
            </w:tcMar>
          </w:tcPr>
          <w:p>
            <w:pPr>
              <w:spacing w:after="40" w:before="40" w:line="260"/>
            </w:pPr>
            <w:r>
              <w:rPr>
                <w:b w:val="false"/>
                <w:bCs w:val="false"/>
                <w:sz w:val="18"/>
                <w:szCs w:val="18"/>
              </w:rPr>
              <w:t xml:space="preserve">Vulnerability = √(H × E)</w:t>
            </w:r>
          </w:p>
        </w:tc>
        <w:tc>
          <w:tcPr>
            <w:tcW w:type="dxa" w:w="230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shd w:fill="F2F5F4" w:val="clear"/>
            <w:tcMar>
              <w:top w:type="dxa" w:w="80"/>
              <w:left w:type="dxa" w:w="110"/>
              <w:bottom w:type="dxa" w:w="80"/>
              <w:right w:type="dxa" w:w="110"/>
            </w:tcMar>
          </w:tcPr>
          <w:p>
            <w:pPr>
              <w:spacing w:after="40" w:before="40" w:line="260"/>
            </w:pPr>
            <w:r>
              <w:rPr>
                <w:b/>
                <w:bCs/>
                <w:sz w:val="18"/>
                <w:szCs w:val="18"/>
              </w:rPr>
              <w:t xml:space="preserve">R2</w:t>
            </w:r>
          </w:p>
        </w:tc>
        <w:tc>
          <w:tcPr>
            <w:tcW w:type="dxa" w:w="3400"/>
            <w:shd w:fill="F2F5F4" w:val="clear"/>
            <w:tcMar>
              <w:top w:type="dxa" w:w="80"/>
              <w:left w:type="dxa" w:w="110"/>
              <w:bottom w:type="dxa" w:w="80"/>
              <w:right w:type="dxa" w:w="110"/>
            </w:tcMar>
          </w:tcPr>
          <w:p>
            <w:pPr>
              <w:spacing w:after="40" w:before="40" w:line="260"/>
            </w:pPr>
            <w:r>
              <w:rPr>
                <w:b w:val="false"/>
                <w:bCs w:val="false"/>
                <w:sz w:val="18"/>
                <w:szCs w:val="18"/>
              </w:rPr>
              <w:t xml:space="preserve">National normalisation bounds (FR-4.3b)</w:t>
            </w:r>
          </w:p>
        </w:tc>
        <w:tc>
          <w:tcPr>
            <w:tcW w:type="dxa" w:w="230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tcMar>
              <w:top w:type="dxa" w:w="80"/>
              <w:left w:type="dxa" w:w="110"/>
              <w:bottom w:type="dxa" w:w="80"/>
              <w:right w:type="dxa" w:w="110"/>
            </w:tcMar>
          </w:tcPr>
          <w:p>
            <w:pPr>
              <w:spacing w:after="40" w:before="40" w:line="260"/>
            </w:pPr>
            <w:r>
              <w:rPr>
                <w:b/>
                <w:bCs/>
                <w:sz w:val="18"/>
                <w:szCs w:val="18"/>
              </w:rPr>
              <w:t xml:space="preserve">R3</w:t>
            </w:r>
          </w:p>
        </w:tc>
        <w:tc>
          <w:tcPr>
            <w:tcW w:type="dxa" w:w="3400"/>
            <w:tcMar>
              <w:top w:type="dxa" w:w="80"/>
              <w:left w:type="dxa" w:w="110"/>
              <w:bottom w:type="dxa" w:w="80"/>
              <w:right w:type="dxa" w:w="110"/>
            </w:tcMar>
          </w:tcPr>
          <w:p>
            <w:pPr>
              <w:spacing w:after="40" w:before="40" w:line="260"/>
            </w:pPr>
            <w:r>
              <w:rPr>
                <w:b w:val="false"/>
                <w:bCs w:val="false"/>
                <w:sz w:val="18"/>
                <w:szCs w:val="18"/>
              </w:rPr>
              <w:t xml:space="preserve">Fixed bounds rather than holding</w:t>
            </w:r>
          </w:p>
        </w:tc>
        <w:tc>
          <w:tcPr>
            <w:tcW w:type="dxa" w:w="230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shd w:fill="F2F5F4" w:val="clear"/>
            <w:tcMar>
              <w:top w:type="dxa" w:w="80"/>
              <w:left w:type="dxa" w:w="110"/>
              <w:bottom w:type="dxa" w:w="80"/>
              <w:right w:type="dxa" w:w="110"/>
            </w:tcMar>
          </w:tcPr>
          <w:p>
            <w:pPr>
              <w:spacing w:after="40" w:before="40" w:line="260"/>
            </w:pPr>
            <w:r>
              <w:rPr>
                <w:b/>
                <w:bCs/>
                <w:sz w:val="18"/>
                <w:szCs w:val="18"/>
              </w:rPr>
              <w:t xml:space="preserve">R4</w:t>
            </w:r>
          </w:p>
        </w:tc>
        <w:tc>
          <w:tcPr>
            <w:tcW w:type="dxa" w:w="3400"/>
            <w:shd w:fill="F2F5F4" w:val="clear"/>
            <w:tcMar>
              <w:top w:type="dxa" w:w="80"/>
              <w:left w:type="dxa" w:w="110"/>
              <w:bottom w:type="dxa" w:w="80"/>
              <w:right w:type="dxa" w:w="110"/>
            </w:tcMar>
          </w:tcPr>
          <w:p>
            <w:pPr>
              <w:spacing w:after="40" w:before="40" w:line="260"/>
            </w:pPr>
            <w:r>
              <w:rPr>
                <w:b w:val="false"/>
                <w:bCs w:val="false"/>
                <w:sz w:val="18"/>
                <w:szCs w:val="18"/>
              </w:rPr>
              <w:t xml:space="preserve">Five bands, half-open intervals</w:t>
            </w:r>
          </w:p>
        </w:tc>
        <w:tc>
          <w:tcPr>
            <w:tcW w:type="dxa" w:w="230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tcMar>
              <w:top w:type="dxa" w:w="80"/>
              <w:left w:type="dxa" w:w="110"/>
              <w:bottom w:type="dxa" w:w="80"/>
              <w:right w:type="dxa" w:w="110"/>
            </w:tcMar>
          </w:tcPr>
          <w:p>
            <w:pPr>
              <w:spacing w:after="40" w:before="40" w:line="260"/>
            </w:pPr>
            <w:r>
              <w:rPr>
                <w:b/>
                <w:bCs/>
                <w:sz w:val="18"/>
                <w:szCs w:val="18"/>
              </w:rPr>
              <w:t xml:space="preserve">N1</w:t>
            </w:r>
          </w:p>
        </w:tc>
        <w:tc>
          <w:tcPr>
            <w:tcW w:type="dxa" w:w="3400"/>
            <w:tcMar>
              <w:top w:type="dxa" w:w="80"/>
              <w:left w:type="dxa" w:w="110"/>
              <w:bottom w:type="dxa" w:w="80"/>
              <w:right w:type="dxa" w:w="110"/>
            </w:tcMar>
          </w:tcPr>
          <w:p>
            <w:pPr>
              <w:spacing w:after="40" w:before="40" w:line="260"/>
            </w:pPr>
            <w:r>
              <w:rPr>
                <w:b w:val="false"/>
                <w:bCs w:val="false"/>
                <w:sz w:val="18"/>
                <w:szCs w:val="18"/>
              </w:rPr>
              <w:t xml:space="preserve">Hazard model — index or components</w:t>
            </w:r>
          </w:p>
        </w:tc>
        <w:tc>
          <w:tcPr>
            <w:tcW w:type="dxa" w:w="230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shd w:fill="F2F5F4" w:val="clear"/>
            <w:tcMar>
              <w:top w:type="dxa" w:w="80"/>
              <w:left w:type="dxa" w:w="110"/>
              <w:bottom w:type="dxa" w:w="80"/>
              <w:right w:type="dxa" w:w="110"/>
            </w:tcMar>
          </w:tcPr>
          <w:p>
            <w:pPr>
              <w:spacing w:after="40" w:before="40" w:line="260"/>
            </w:pPr>
            <w:r>
              <w:rPr>
                <w:b/>
                <w:bCs/>
                <w:sz w:val="18"/>
                <w:szCs w:val="18"/>
              </w:rPr>
              <w:t xml:space="preserve">N2</w:t>
            </w:r>
          </w:p>
        </w:tc>
        <w:tc>
          <w:tcPr>
            <w:tcW w:type="dxa" w:w="3400"/>
            <w:shd w:fill="F2F5F4" w:val="clear"/>
            <w:tcMar>
              <w:top w:type="dxa" w:w="80"/>
              <w:left w:type="dxa" w:w="110"/>
              <w:bottom w:type="dxa" w:w="80"/>
              <w:right w:type="dxa" w:w="110"/>
            </w:tcMar>
          </w:tcPr>
          <w:p>
            <w:pPr>
              <w:spacing w:after="40" w:before="40" w:line="260"/>
            </w:pPr>
            <w:r>
              <w:rPr>
                <w:b w:val="false"/>
                <w:bCs w:val="false"/>
                <w:sz w:val="18"/>
                <w:szCs w:val="18"/>
              </w:rPr>
              <w:t xml:space="preserve">Exposure weighting method</w:t>
            </w:r>
          </w:p>
        </w:tc>
        <w:tc>
          <w:tcPr>
            <w:tcW w:type="dxa" w:w="230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tcMar>
              <w:top w:type="dxa" w:w="80"/>
              <w:left w:type="dxa" w:w="110"/>
              <w:bottom w:type="dxa" w:w="80"/>
              <w:right w:type="dxa" w:w="110"/>
            </w:tcMar>
          </w:tcPr>
          <w:p>
            <w:pPr>
              <w:spacing w:after="40" w:before="40" w:line="260"/>
            </w:pPr>
            <w:r>
              <w:rPr>
                <w:b/>
                <w:bCs/>
                <w:sz w:val="18"/>
                <w:szCs w:val="18"/>
              </w:rPr>
              <w:t xml:space="preserve">N3</w:t>
            </w:r>
          </w:p>
        </w:tc>
        <w:tc>
          <w:tcPr>
            <w:tcW w:type="dxa" w:w="3400"/>
            <w:tcMar>
              <w:top w:type="dxa" w:w="80"/>
              <w:left w:type="dxa" w:w="110"/>
              <w:bottom w:type="dxa" w:w="80"/>
              <w:right w:type="dxa" w:w="110"/>
            </w:tcMar>
          </w:tcPr>
          <w:p>
            <w:pPr>
              <w:spacing w:after="40" w:before="40" w:line="260"/>
            </w:pPr>
            <w:r>
              <w:rPr>
                <w:b w:val="false"/>
                <w:bCs w:val="false"/>
                <w:sz w:val="18"/>
                <w:szCs w:val="18"/>
              </w:rPr>
              <w:t xml:space="preserve">Period boundary at 2025</w:t>
            </w:r>
          </w:p>
        </w:tc>
        <w:tc>
          <w:tcPr>
            <w:tcW w:type="dxa" w:w="230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shd w:fill="F2F5F4" w:val="clear"/>
            <w:tcMar>
              <w:top w:type="dxa" w:w="80"/>
              <w:left w:type="dxa" w:w="110"/>
              <w:bottom w:type="dxa" w:w="80"/>
              <w:right w:type="dxa" w:w="110"/>
            </w:tcMar>
          </w:tcPr>
          <w:p>
            <w:pPr>
              <w:spacing w:after="40" w:before="40" w:line="260"/>
            </w:pPr>
            <w:r>
              <w:rPr>
                <w:b/>
                <w:bCs/>
                <w:sz w:val="18"/>
                <w:szCs w:val="18"/>
              </w:rPr>
              <w:t xml:space="preserve">N4</w:t>
            </w:r>
          </w:p>
        </w:tc>
        <w:tc>
          <w:tcPr>
            <w:tcW w:type="dxa" w:w="3400"/>
            <w:shd w:fill="F2F5F4" w:val="clear"/>
            <w:tcMar>
              <w:top w:type="dxa" w:w="80"/>
              <w:left w:type="dxa" w:w="110"/>
              <w:bottom w:type="dxa" w:w="80"/>
              <w:right w:type="dxa" w:w="110"/>
            </w:tcMar>
          </w:tcPr>
          <w:p>
            <w:pPr>
              <w:spacing w:after="40" w:before="40" w:line="260"/>
            </w:pPr>
            <w:r>
              <w:rPr>
                <w:b w:val="false"/>
                <w:bCs w:val="false"/>
                <w:sz w:val="18"/>
                <w:szCs w:val="18"/>
              </w:rPr>
              <w:t xml:space="preserve">NAP mapping mechanism</w:t>
            </w:r>
          </w:p>
        </w:tc>
        <w:tc>
          <w:tcPr>
            <w:tcW w:type="dxa" w:w="230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tcMar>
              <w:top w:type="dxa" w:w="80"/>
              <w:left w:type="dxa" w:w="110"/>
              <w:bottom w:type="dxa" w:w="80"/>
              <w:right w:type="dxa" w:w="110"/>
            </w:tcMar>
          </w:tcPr>
          <w:p>
            <w:pPr>
              <w:spacing w:after="40" w:before="40" w:line="260"/>
            </w:pPr>
            <w:r>
              <w:rPr>
                <w:b/>
                <w:bCs/>
                <w:sz w:val="18"/>
                <w:szCs w:val="18"/>
              </w:rPr>
              <w:t xml:space="preserve">N5</w:t>
            </w:r>
          </w:p>
        </w:tc>
        <w:tc>
          <w:tcPr>
            <w:tcW w:type="dxa" w:w="3400"/>
            <w:tcMar>
              <w:top w:type="dxa" w:w="80"/>
              <w:left w:type="dxa" w:w="110"/>
              <w:bottom w:type="dxa" w:w="80"/>
              <w:right w:type="dxa" w:w="110"/>
            </w:tcMar>
          </w:tcPr>
          <w:p>
            <w:pPr>
              <w:spacing w:after="40" w:before="40" w:line="260"/>
            </w:pPr>
            <w:r>
              <w:rPr>
                <w:b w:val="false"/>
                <w:bCs w:val="false"/>
                <w:sz w:val="18"/>
                <w:szCs w:val="18"/>
              </w:rPr>
              <w:t xml:space="preserve">Non-assessable NAP entries</w:t>
            </w:r>
          </w:p>
        </w:tc>
        <w:tc>
          <w:tcPr>
            <w:tcW w:type="dxa" w:w="230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shd w:fill="F2F5F4" w:val="clear"/>
            <w:tcMar>
              <w:top w:type="dxa" w:w="80"/>
              <w:left w:type="dxa" w:w="110"/>
              <w:bottom w:type="dxa" w:w="80"/>
              <w:right w:type="dxa" w:w="110"/>
            </w:tcMar>
          </w:tcPr>
          <w:p>
            <w:pPr>
              <w:spacing w:after="40" w:before="40" w:line="260"/>
            </w:pPr>
            <w:r>
              <w:rPr>
                <w:b/>
                <w:bCs/>
                <w:sz w:val="18"/>
                <w:szCs w:val="18"/>
              </w:rPr>
              <w:t xml:space="preserve">N6</w:t>
            </w:r>
          </w:p>
        </w:tc>
        <w:tc>
          <w:tcPr>
            <w:tcW w:type="dxa" w:w="3400"/>
            <w:shd w:fill="F2F5F4" w:val="clear"/>
            <w:tcMar>
              <w:top w:type="dxa" w:w="80"/>
              <w:left w:type="dxa" w:w="110"/>
              <w:bottom w:type="dxa" w:w="80"/>
              <w:right w:type="dxa" w:w="110"/>
            </w:tcMar>
          </w:tcPr>
          <w:p>
            <w:pPr>
              <w:spacing w:after="40" w:before="40" w:line="260"/>
            </w:pPr>
            <w:r>
              <w:rPr>
                <w:b w:val="false"/>
                <w:bCs w:val="false"/>
                <w:sz w:val="18"/>
                <w:szCs w:val="18"/>
              </w:rPr>
              <w:t xml:space="preserve">Second collection round in scope?</w:t>
            </w:r>
          </w:p>
        </w:tc>
        <w:tc>
          <w:tcPr>
            <w:tcW w:type="dxa" w:w="230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tcMar>
              <w:top w:type="dxa" w:w="80"/>
              <w:left w:type="dxa" w:w="110"/>
              <w:bottom w:type="dxa" w:w="80"/>
              <w:right w:type="dxa" w:w="110"/>
            </w:tcMar>
          </w:tcPr>
          <w:p>
            <w:pPr>
              <w:spacing w:after="40" w:before="40" w:line="260"/>
            </w:pPr>
            <w:r>
              <w:rPr>
                <w:b/>
                <w:bCs/>
                <w:sz w:val="18"/>
                <w:szCs w:val="18"/>
              </w:rPr>
              <w:t xml:space="preserve">N7</w:t>
            </w:r>
          </w:p>
        </w:tc>
        <w:tc>
          <w:tcPr>
            <w:tcW w:type="dxa" w:w="3400"/>
            <w:tcMar>
              <w:top w:type="dxa" w:w="80"/>
              <w:left w:type="dxa" w:w="110"/>
              <w:bottom w:type="dxa" w:w="80"/>
              <w:right w:type="dxa" w:w="110"/>
            </w:tcMar>
          </w:tcPr>
          <w:p>
            <w:pPr>
              <w:spacing w:after="40" w:before="40" w:line="260"/>
            </w:pPr>
            <w:r>
              <w:rPr>
                <w:b w:val="false"/>
                <w:bCs w:val="false"/>
                <w:sz w:val="18"/>
                <w:szCs w:val="18"/>
              </w:rPr>
              <w:t xml:space="preserve">Hazard-extent geometry</w:t>
            </w:r>
          </w:p>
        </w:tc>
        <w:tc>
          <w:tcPr>
            <w:tcW w:type="dxa" w:w="230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shd w:fill="F2F5F4" w:val="clear"/>
            <w:tcMar>
              <w:top w:type="dxa" w:w="80"/>
              <w:left w:type="dxa" w:w="110"/>
              <w:bottom w:type="dxa" w:w="80"/>
              <w:right w:type="dxa" w:w="110"/>
            </w:tcMar>
          </w:tcPr>
          <w:p>
            <w:pPr>
              <w:spacing w:after="40" w:before="40" w:line="260"/>
            </w:pPr>
            <w:r>
              <w:rPr>
                <w:b/>
                <w:bCs/>
                <w:sz w:val="18"/>
                <w:szCs w:val="18"/>
              </w:rPr>
              <w:t xml:space="preserve">N8</w:t>
            </w:r>
          </w:p>
        </w:tc>
        <w:tc>
          <w:tcPr>
            <w:tcW w:type="dxa" w:w="3400"/>
            <w:shd w:fill="F2F5F4" w:val="clear"/>
            <w:tcMar>
              <w:top w:type="dxa" w:w="80"/>
              <w:left w:type="dxa" w:w="110"/>
              <w:bottom w:type="dxa" w:w="80"/>
              <w:right w:type="dxa" w:w="110"/>
            </w:tcMar>
          </w:tcPr>
          <w:p>
            <w:pPr>
              <w:spacing w:after="40" w:before="40" w:line="260"/>
            </w:pPr>
            <w:r>
              <w:rPr>
                <w:b w:val="false"/>
                <w:bCs w:val="false"/>
                <w:sz w:val="18"/>
                <w:szCs w:val="18"/>
              </w:rPr>
              <w:t xml:space="preserve">Risk layer or SSP</w:t>
            </w:r>
          </w:p>
        </w:tc>
        <w:tc>
          <w:tcPr>
            <w:tcW w:type="dxa" w:w="230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shd w:fill="F2F5F4" w:val="clear"/>
            <w:tcMar>
              <w:top w:type="dxa" w:w="80"/>
              <w:left w:type="dxa" w:w="110"/>
              <w:bottom w:type="dxa" w:w="80"/>
              <w:right w:type="dxa" w:w="110"/>
            </w:tcMar>
          </w:tcPr>
          <w:p>
            <w:pPr>
              <w:spacing w:after="40" w:before="40" w:line="260"/>
            </w:pPr>
            <w:r>
              <w:rPr>
                <w:b w:val="false"/>
                <w:bCs w:val="false"/>
                <w:sz w:val="18"/>
                <w:szCs w:val="18"/>
              </w:rPr>
              <w:t xml:space="preserve"/>
            </w:r>
          </w:p>
        </w:tc>
      </w:tr>
      <w:tr>
        <w:tc>
          <w:tcPr>
            <w:tcW w:type="dxa" w:w="700"/>
            <w:tcMar>
              <w:top w:type="dxa" w:w="80"/>
              <w:left w:type="dxa" w:w="110"/>
              <w:bottom w:type="dxa" w:w="80"/>
              <w:right w:type="dxa" w:w="110"/>
            </w:tcMar>
          </w:tcPr>
          <w:p>
            <w:pPr>
              <w:spacing w:after="40" w:before="40" w:line="260"/>
            </w:pPr>
            <w:r>
              <w:rPr>
                <w:b/>
                <w:bCs/>
                <w:sz w:val="18"/>
                <w:szCs w:val="18"/>
              </w:rPr>
              <w:t xml:space="preserve">N9</w:t>
            </w:r>
          </w:p>
        </w:tc>
        <w:tc>
          <w:tcPr>
            <w:tcW w:type="dxa" w:w="3400"/>
            <w:tcMar>
              <w:top w:type="dxa" w:w="80"/>
              <w:left w:type="dxa" w:w="110"/>
              <w:bottom w:type="dxa" w:w="80"/>
              <w:right w:type="dxa" w:w="110"/>
            </w:tcMar>
          </w:tcPr>
          <w:p>
            <w:pPr>
              <w:spacing w:after="40" w:before="40" w:line="260"/>
            </w:pPr>
            <w:r>
              <w:rPr>
                <w:b w:val="false"/>
                <w:bCs w:val="false"/>
                <w:sz w:val="18"/>
                <w:szCs w:val="18"/>
              </w:rPr>
              <w:t xml:space="preserve">GN-level access</w:t>
            </w:r>
          </w:p>
        </w:tc>
        <w:tc>
          <w:tcPr>
            <w:tcW w:type="dxa" w:w="230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c>
          <w:tcPr>
            <w:tcW w:type="dxa" w:w="1310"/>
            <w:tcMar>
              <w:top w:type="dxa" w:w="80"/>
              <w:left w:type="dxa" w:w="110"/>
              <w:bottom w:type="dxa" w:w="80"/>
              <w:right w:type="dxa" w:w="110"/>
            </w:tcMar>
          </w:tcPr>
          <w:p>
            <w:pPr>
              <w:spacing w:after="40" w:before="40" w:line="260"/>
            </w:pPr>
            <w:r>
              <w:rPr>
                <w:b w:val="false"/>
                <w:bCs w:val="false"/>
                <w:sz w:val="18"/>
                <w:szCs w:val="18"/>
              </w:rPr>
              <w:t xml:space="preserve"/>
            </w:r>
          </w:p>
        </w:tc>
      </w:tr>
    </w:tbl>
    <w:p>
      <w:pPr>
        <w:spacing w:after="160"/>
      </w:pPr>
    </w:p>
    <w:p>
      <w:pPr>
        <w:spacing w:after="120" w:line="276"/>
      </w:pPr>
      <w:r>
        <w:rPr>
          <w:i/>
          <w:iCs/>
          <w:color w:val="5A6663"/>
        </w:rPr>
        <w:t xml:space="preserve">End of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63"/>
        <w:sz w:val="16"/>
        <w:szCs w:val="16"/>
      </w:rPr>
      <w:t xml:space="preserve">6 August 2026  ·  page </w:t>
    </w:r>
    <w:r>
      <w:rPr>
        <w:color w:val="5A66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F" w:sz="4"/>
      </w:pBdr>
      <w:jc w:val="right"/>
    </w:pPr>
    <w:r>
      <w:rPr>
        <w:color w:val="5A6663"/>
        <w:sz w:val="16"/>
        <w:szCs w:val="16"/>
      </w:rPr>
      <w:t xml:space="preserve">Risk Radar — resolution of the expert-panel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C3F3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pPr>
      <w:spacing w:after="120" w:before="280"/>
    </w:pPr>
    <w:rPr>
      <w:rFonts w:ascii="Calibri" w:cs="Calibri" w:eastAsia="Calibri" w:hAnsi="Calibri"/>
      <w:b/>
      <w:bCs/>
      <w:color w:val="243B3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Radar — Resolution of the expert-panel review</dc:title>
  <dc:creator>Risk Radar project</dc:creator>
  <cp:lastModifiedBy>Un-named</cp:lastModifiedBy>
  <cp:revision>1</cp:revision>
  <dcterms:created xsi:type="dcterms:W3CDTF">2026-08-06T11:20:29.746Z</dcterms:created>
  <dcterms:modified xsi:type="dcterms:W3CDTF">2026-08-06T11:20:29.783Z</dcterms:modified>
</cp:coreProperties>
</file>

<file path=docProps/custom.xml><?xml version="1.0" encoding="utf-8"?>
<Properties xmlns="http://schemas.openxmlformats.org/officeDocument/2006/custom-properties" xmlns:vt="http://schemas.openxmlformats.org/officeDocument/2006/docPropsVTypes"/>
</file>