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Corporate Digital Governance Strategic Long-Term Vision (2026–2050)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Corporate Digital Governance (CDG) department is poised to become the architect of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Thriving City of Hope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transforming the City of Cape Town into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Digitally Resilient 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strategy consolidates four critical branches—Digital Governance, Corporate Digital Control Assessments (CDCA), Knowledge &amp; Information Management (KM), and Records Management (RM)—into a unified force. By positioning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core, we will transition from fragmented, manual oversight to an integrated, AI-enabled ecosystem that supports autonomous decision-making with robust guardrails. Our mission is to ensure that by 2050, the City's institutional memory is preserved, its digital records are "born-digital," and its control environments are intelligent and proactive.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Strategic Intent &amp; Alignment to Cape Town 2050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strategy directly aligns with the City’s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2050 Long-Term Plan (LTP)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its vision for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Future-Fit 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Capable and Responsive 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support this LTP building block by ensuring digital services are trusted, integrated, and adaptive.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Good 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Our strategy builds on the City’s record of clean audits to establish a global benchmark for digital governance.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Digitalisation and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directly implement the LTP's "Digitalisation" and "AI and Data Analytics" initiatives by embedding technology into the policy and service lifecycle.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City That Never Forgets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align with the City's goal of building a "brain that never forgets," ensuring that expertise is preserved through every project and retirement.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Current State &amp; Strategic Challenges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department currently faces several critical hurdles that must be overcome to reach the 2050 vision: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Governance (DG)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Currently operates without permanent operational staff or budget and is limited to the Corporate Services directorate.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Assurance Gaps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CDCA functions are primarily manual and periodic, leading to reactive risk management and the perception of being "compliance police".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 Silos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Institutional knowledge is often undocumented ("Tribal Knowledge") and locked in the heads of retiring staff.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Records Fragmentation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lack of systems integration and file plan usage leads to "findability gaps" and growing digital backlogs.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Maturity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While the City excels at e-Government, it has yet to achieve a fully realized "Digital Government".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Core: Integrated Digital Governance Framework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Digital Governance serves as the integrator for all departmental functions.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Governance Evolution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will adopt adaptive governance styles matched to the maturity levels of different departments.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Scaling Oversight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DG branch will evolve from a Corporate Services focus to an enterprise-wide authority, aligning all directorates to minimum digital governance standards.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Algorithmic 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By 2050, we will implement AI-enabled governance with guardrails to support autonomous decision-making across the City.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Recognition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Our goal is to position Cape Town as a globally recognized digital city through consistent, high-maturity governance practices.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Pillar 1: Intelligent Control &amp; Continuous Assurance (CDCA)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CDCA branch will transform from a reactive assurance function into the City’s proactive "Assurance Talent &amp; Knowledge Engine".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Intelligent Control &amp; Maturity Platform (ICMP)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will move from periodic checks to continuous, intelligent monitoring of operational controls.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Predictive 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Utilizing control analytics and predictive maturity scoring, we will identify digital risks before they escalate.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Embedded Partnerships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Through "governance advisory sprints" and champion certification, departments will become self-sufficient in managing their own digital risks.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Governance Assistant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dedicated AI tool will assist staff in navigating complex internal control frameworks (ICF).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Pillar 2: The Knowledge-Powered City (KM)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Knowledge management will evolve into the "Brain of the City," ensuring that information finds the user when they need it.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Revamped DIRC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Developmental Information Resource Centre will be expanded into a citywide Knowledge Hub, serving as the digital gateway to expertise across all directorates.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Corporate Taxonomy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will establish a common language and consistent classification across the City to enable cross-departmental discovery.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 Retention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systematic project will capture expertise from retiring staff through recorded interviews and AI-driven indexing.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AI-Enabled Discovery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Auto-tagging and metadata generation will eliminate manual filing, allowing for instant searchability of the City’s collective wisdom.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Pillar 3: The Born-Digital Records Lifecycle (RM)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Records Management will ensure that every City record is a trusted, tamper-proof digital artifact.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Born-Digital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By 2050, all records will be created digitally, correctly classified, and instantly discoverable.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AI-Assisted Classification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will deploy AI to assist in the classification and disposal of records, reducing digital backlogs and ensuring defensible retention.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standard-based recordkeeping layer will be integrated into all line-of-business platforms.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Preservation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will implement long-term strategies for legacy format migration and approved digital repositories to preserve the City's history.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Technological Enablers: AI, Digital Twins, and DPI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strategy leverages the cutting edge of the "AI-tech wave" to drive efficiency.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Twins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By anchoring knowledge directly to virtual replicas of City assets (pipes, roads, buildings), field workers can see the history and expert guidance for the infrastructure they are maintaining in real-time.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Public Infrastructure (DPI)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We will build shared data and digital systems that enable integrated, data-led services across departments and with external partners.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Ethics and Privacy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data capabilities mature, we will double down on POPIA-aligned controls and data protection to ensure resident trust.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Implementation Horizons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Achieving the 2050 vision requires a phased approach over three implementation horizons: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 Term (1–5 Years): Foundations &amp; Digitization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Develop the City’s Digital Governance Evolution Model and pilot it within Corporate Services.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Digitizing tools and formalizing methodologies; establishing governance networks.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Launch the DIRC revamp plan and establish the KM-IS&amp;T Task Team for Digital Twin integration.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Conduct a systems inventory and establish a baseline digital preservation repository.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Medium Term (6–15 Years): Integration &amp; Embedded Advisory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Align all directorates to minimum digital governance standards and establish oversight mechanisms.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 data analytics and embedded advisory models; deploy advanced governance tools.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Scale the citywide knowledge hub and integrate AI search across all departmental documents.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Achieve standard metadata across all systems and full retention coverage.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Long Term (16–25 Years): Leadership &amp; Autonomous Governance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 algorithmic and AI-enabled digital governance with guardrails; establish a real-time, risk-aware ecosystem.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Achieve "Centre of Excellence" status with AI-driven governance support and continuous monitoring.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Realize the "Knowledge-Powered City" where every employee has instant access to the organization's collective wisdom.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Maintain a trusted lifecycle environment with rapid audit responses and automated disposal.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Conclusion: Forging a Future-Ready City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2050, the Corporate Digital Governance department will have transformed the City of Cape Town into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beacon of innovation and progress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Through the consolidation of our four branches, we will ensure that the City's state capacity is enhanced by a "brain that never forgets," a control environment that never fails, and a digital governance framework that adapts to every challenge. Together, we are building a City of Hope where every decision is powered by trusted data and every employee is empowered by the City's collective wisdom.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