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sz w:val="32"/>
          <w:szCs w:val="32"/>
          <w:lang w:val="en-US" w:eastAsia="zh-CN"/>
        </w:rPr>
      </w:pPr>
      <w:r>
        <w:rPr>
          <w:rFonts w:hint="eastAsia"/>
          <w:sz w:val="32"/>
          <w:szCs w:val="32"/>
          <w:lang w:val="en-US" w:eastAsia="zh-CN"/>
        </w:rPr>
        <w:t>基于Bem性别角色量表的双性化调查报告</w:t>
      </w:r>
    </w:p>
    <w:p>
      <w:pPr>
        <w:numPr>
          <w:ilvl w:val="0"/>
          <w:numId w:val="0"/>
        </w:numPr>
        <w:rPr>
          <w:rFonts w:hint="eastAsia"/>
          <w:lang w:val="en-US" w:eastAsia="zh-CN"/>
        </w:rPr>
      </w:pPr>
      <w:r>
        <w:rPr>
          <w:rFonts w:hint="eastAsia"/>
          <w:lang w:val="en-US" w:eastAsia="zh-CN"/>
        </w:rPr>
        <w:t>一、引言</w:t>
      </w:r>
    </w:p>
    <w:p>
      <w:pPr>
        <w:numPr>
          <w:ilvl w:val="0"/>
          <w:numId w:val="0"/>
        </w:numPr>
        <w:ind w:firstLine="420" w:firstLineChars="0"/>
        <w:rPr>
          <w:rFonts w:hint="eastAsia"/>
          <w:lang w:val="en-US" w:eastAsia="zh-CN"/>
        </w:rPr>
      </w:pPr>
      <w:r>
        <w:rPr>
          <w:rFonts w:hint="eastAsia"/>
          <w:lang w:val="en-US" w:eastAsia="zh-CN"/>
        </w:rPr>
        <w:t>20世纪70年代以前，行为科学家及大多数非科学家认为，人们的性别认同不是彻底的男性化就是彻底的女性化。然而，在20世纪70年代，以桑德拉·贝姆为代表的一批心理学家向传统的性别观念发起挑战，认为一个人可以有效融合男性化和女性化两种特征。本研究基于贝姆性别角色量表(BSRI)开展了调查，并证实了贝姆的观点在今天依然可信，且BSRI仍具有良好的效度。</w:t>
      </w:r>
    </w:p>
    <w:p>
      <w:pPr>
        <w:numPr>
          <w:ilvl w:val="0"/>
          <w:numId w:val="0"/>
        </w:numPr>
        <w:ind w:leftChars="0"/>
        <w:rPr>
          <w:rFonts w:hint="eastAsia"/>
          <w:lang w:val="en-US" w:eastAsia="zh-CN"/>
        </w:rPr>
      </w:pPr>
      <w:r>
        <w:rPr>
          <w:rFonts w:hint="eastAsia"/>
          <w:lang w:val="en-US" w:eastAsia="zh-CN"/>
        </w:rPr>
        <w:t>二、调查对象及方法</w:t>
      </w:r>
    </w:p>
    <w:p>
      <w:pPr>
        <w:numPr>
          <w:ilvl w:val="0"/>
          <w:numId w:val="0"/>
        </w:numPr>
        <w:ind w:leftChars="0" w:firstLine="420" w:firstLineChars="0"/>
        <w:rPr>
          <w:rFonts w:hint="eastAsia"/>
          <w:lang w:val="en-US" w:eastAsia="zh-CN"/>
        </w:rPr>
      </w:pPr>
      <w:r>
        <w:rPr>
          <w:rFonts w:hint="eastAsia"/>
          <w:lang w:val="en-US" w:eastAsia="zh-CN"/>
        </w:rPr>
        <w:t>本次调查基于BSRI采取线上发放问卷的方式，对108名受访者进行了问卷调查。问卷包含了BSRI中的10个女性化特质、10个男性化特质和10个中性化特质，并在发放问卷时对所有测试项进行随机排序，以保证参与者不会被题目类型所影响，而是给出最真实的回答。</w:t>
      </w:r>
    </w:p>
    <w:p>
      <w:pPr>
        <w:numPr>
          <w:ilvl w:val="0"/>
          <w:numId w:val="0"/>
        </w:numPr>
        <w:rPr>
          <w:rFonts w:hint="eastAsia"/>
          <w:lang w:val="en-US" w:eastAsia="zh-CN"/>
        </w:rPr>
      </w:pPr>
      <w:r>
        <w:rPr>
          <w:rFonts w:hint="eastAsia"/>
          <w:lang w:val="en-US" w:eastAsia="zh-CN"/>
        </w:rPr>
        <w:t>参与者通过对自身每种人格特质的程度进行打分（从1=完全或几乎不符合到7=完全或几乎符合），得到男性化得分、女性化得分和双性化得分，进而评判他们的男性化、女性化和双性化程度。</w:t>
      </w:r>
    </w:p>
    <w:p>
      <w:pPr>
        <w:numPr>
          <w:ilvl w:val="0"/>
          <w:numId w:val="0"/>
        </w:numPr>
        <w:ind w:leftChars="0"/>
        <w:rPr>
          <w:rFonts w:hint="eastAsia"/>
          <w:lang w:val="en-US" w:eastAsia="zh-CN"/>
        </w:rPr>
      </w:pPr>
      <w:r>
        <w:rPr>
          <w:rFonts w:hint="eastAsia"/>
          <w:lang w:val="en-US" w:eastAsia="zh-CN"/>
        </w:rPr>
        <w:t>三、调查结果</w:t>
      </w:r>
    </w:p>
    <w:p>
      <w:pPr>
        <w:numPr>
          <w:ilvl w:val="0"/>
          <w:numId w:val="0"/>
        </w:numPr>
        <w:ind w:leftChars="0" w:firstLine="420" w:firstLineChars="0"/>
        <w:rPr>
          <w:rFonts w:hint="eastAsia"/>
          <w:lang w:val="en-US" w:eastAsia="zh-CN"/>
        </w:rPr>
      </w:pPr>
      <w:r>
        <w:rPr>
          <w:rFonts w:hint="eastAsia"/>
          <w:lang w:val="en-US" w:eastAsia="zh-CN"/>
        </w:rPr>
        <w:t>通过计算所有参与者的双性化得分得到如下散点图（图一）：</w:t>
      </w:r>
    </w:p>
    <w:p>
      <w:pPr>
        <w:numPr>
          <w:ilvl w:val="0"/>
          <w:numId w:val="0"/>
        </w:numPr>
        <w:jc w:val="center"/>
        <w:rPr>
          <w:rFonts w:hint="default"/>
          <w:lang w:val="en-US" w:eastAsia="zh-CN"/>
        </w:rPr>
      </w:pPr>
      <w:r>
        <w:rPr>
          <w:rFonts w:hint="default"/>
          <w:lang w:val="en-US" w:eastAsia="zh-CN"/>
        </w:rPr>
        <w:drawing>
          <wp:inline distT="0" distB="0" distL="114300" distR="114300">
            <wp:extent cx="4839970" cy="2755265"/>
            <wp:effectExtent l="0" t="0" r="11430" b="635"/>
            <wp:docPr id="3" name="图片 3"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7"/>
                    <pic:cNvPicPr>
                      <a:picLocks noChangeAspect="1"/>
                    </pic:cNvPicPr>
                  </pic:nvPicPr>
                  <pic:blipFill>
                    <a:blip r:embed="rId4"/>
                    <a:stretch>
                      <a:fillRect/>
                    </a:stretch>
                  </pic:blipFill>
                  <pic:spPr>
                    <a:xfrm>
                      <a:off x="0" y="0"/>
                      <a:ext cx="4839970" cy="2755265"/>
                    </a:xfrm>
                    <a:prstGeom prst="rect">
                      <a:avLst/>
                    </a:prstGeom>
                  </pic:spPr>
                </pic:pic>
              </a:graphicData>
            </a:graphic>
          </wp:inline>
        </w:drawing>
      </w:r>
    </w:p>
    <w:p>
      <w:pPr>
        <w:numPr>
          <w:ilvl w:val="0"/>
          <w:numId w:val="0"/>
        </w:numPr>
        <w:ind w:firstLine="420" w:firstLineChars="0"/>
        <w:jc w:val="left"/>
        <w:rPr>
          <w:rFonts w:hint="default" w:hAnsi="Cambria Math"/>
          <w:i w:val="0"/>
          <w:lang w:val="en-US" w:eastAsia="zh-CN"/>
        </w:rPr>
      </w:pPr>
      <w:r>
        <w:rPr>
          <w:rFonts w:hint="eastAsia"/>
          <w:lang w:val="en-US" w:eastAsia="zh-CN"/>
        </w:rPr>
        <w:t>由图中数据可知，大部分参与者的双性化得分分布在0附近，经计算得，双性化得分的方差约为</w:t>
      </w:r>
      <m:oMath>
        <m:sSup>
          <m:sSupPr>
            <m:ctrlPr>
              <w:rPr>
                <w:rFonts w:ascii="Cambria Math" w:hAnsi="Cambria Math"/>
                <w:i/>
                <w:lang w:val="en-US"/>
              </w:rPr>
            </m:ctrlPr>
          </m:sSupPr>
          <m:e>
            <m:r>
              <m:rPr/>
              <w:rPr>
                <w:rFonts w:hint="default" w:ascii="Cambria Math" w:hAnsi="Cambria Math"/>
                <w:lang w:val="en-US" w:eastAsia="zh-CN"/>
              </w:rPr>
              <m:t>s</m:t>
            </m:r>
            <m:ctrlPr>
              <w:rPr>
                <w:rFonts w:ascii="Cambria Math" w:hAnsi="Cambria Math"/>
                <w:i/>
                <w:lang w:val="en-US"/>
              </w:rPr>
            </m:ctrlPr>
          </m:e>
          <m:sup>
            <m:r>
              <m:rPr/>
              <w:rPr>
                <w:rFonts w:hint="default" w:ascii="Cambria Math" w:hAnsi="Cambria Math"/>
                <w:lang w:val="en-US" w:eastAsia="zh-CN"/>
              </w:rPr>
              <m:t>2</m:t>
            </m:r>
            <m:ctrlPr>
              <w:rPr>
                <w:rFonts w:hint="default" w:ascii="Cambria Math" w:hAnsi="Cambria Math"/>
                <w:i/>
                <w:lang w:val="en-US" w:eastAsia="zh-CN"/>
              </w:rPr>
            </m:ctrlPr>
          </m:sup>
        </m:sSup>
      </m:oMath>
      <w:r>
        <w:rPr>
          <w:rFonts w:hint="eastAsia" w:hAnsi="Cambria Math"/>
          <w:i w:val="0"/>
          <w:lang w:val="en-US" w:eastAsia="zh-CN"/>
        </w:rPr>
        <w:t>=0.40093904，标准差约为</w:t>
      </w:r>
      <m:oMath>
        <m:r>
          <m:rPr>
            <m:sty m:val="p"/>
          </m:rPr>
          <w:rPr>
            <w:rFonts w:hint="eastAsia" w:ascii="Cambria Math" w:hAnsi="Cambria Math" w:cstheme="minorBidi"/>
            <w:kern w:val="2"/>
            <w:sz w:val="21"/>
            <w:szCs w:val="24"/>
            <w:lang w:val="en-US" w:eastAsia="zh-CN" w:bidi="ar-SA"/>
          </w:rPr>
          <m:t>s</m:t>
        </m:r>
      </m:oMath>
      <w:r>
        <w:rPr>
          <w:rFonts w:hint="eastAsia" w:hAnsi="Cambria Math" w:cstheme="minorBidi"/>
          <w:i w:val="0"/>
          <w:kern w:val="2"/>
          <w:sz w:val="21"/>
          <w:szCs w:val="24"/>
          <w:lang w:val="en-US" w:eastAsia="zh-CN" w:bidi="ar-SA"/>
        </w:rPr>
        <w:t>=0.6933197473，</w:t>
      </w:r>
      <w:r>
        <w:rPr>
          <w:rFonts w:hint="eastAsia" w:hAnsi="Cambria Math"/>
          <w:i w:val="0"/>
          <w:lang w:val="en-US" w:eastAsia="zh-CN"/>
        </w:rPr>
        <w:t>波动幅度较小，</w:t>
      </w:r>
      <w:r>
        <w:rPr>
          <w:rFonts w:hint="eastAsia"/>
          <w:lang w:val="en-US" w:eastAsia="zh-CN"/>
        </w:rPr>
        <w:t>即大部分参与者的双性化程度较高。</w:t>
      </w:r>
    </w:p>
    <w:p>
      <w:pPr>
        <w:numPr>
          <w:ilvl w:val="0"/>
          <w:numId w:val="0"/>
        </w:numPr>
        <w:ind w:firstLine="420" w:firstLineChars="0"/>
        <w:jc w:val="left"/>
        <w:rPr>
          <w:rFonts w:hint="eastAsia"/>
          <w:lang w:val="en-US" w:eastAsia="zh-CN"/>
        </w:rPr>
      </w:pPr>
      <w:r>
        <w:rPr>
          <w:rFonts w:hint="eastAsia"/>
          <w:lang w:val="en-US" w:eastAsia="zh-CN"/>
        </w:rPr>
        <w:t>下面的饼图（图二）展现了不同性别特质的人在总体中的占比：</w:t>
      </w:r>
    </w:p>
    <w:p>
      <w:pPr>
        <w:numPr>
          <w:ilvl w:val="0"/>
          <w:numId w:val="0"/>
        </w:numPr>
        <w:jc w:val="left"/>
        <w:rPr>
          <w:rFonts w:hint="eastAsia"/>
          <w:lang w:val="en-US" w:eastAsia="zh-CN"/>
        </w:rPr>
      </w:pPr>
      <w:r>
        <w:rPr>
          <w:rFonts w:hint="eastAsia"/>
          <w:lang w:val="en-US" w:eastAsia="zh-CN"/>
        </w:rPr>
        <w:t>（在这里，我们对不同的性别特质所对应的分数做了如下分类：</w:t>
      </w:r>
    </w:p>
    <w:p>
      <w:pPr>
        <w:numPr>
          <w:ilvl w:val="0"/>
          <w:numId w:val="0"/>
        </w:numPr>
        <w:ind w:left="420" w:leftChars="0" w:firstLine="420" w:firstLineChars="0"/>
        <w:jc w:val="both"/>
        <w:rPr>
          <w:rFonts w:hint="eastAsia"/>
          <w:lang w:val="en-US" w:eastAsia="zh-CN"/>
        </w:rPr>
      </w:pPr>
      <w:r>
        <w:rPr>
          <w:rFonts w:hint="eastAsia"/>
          <w:lang w:val="en-US" w:eastAsia="zh-CN"/>
        </w:rPr>
        <w:t>女性化=1.00或更高</w:t>
      </w:r>
    </w:p>
    <w:p>
      <w:pPr>
        <w:numPr>
          <w:ilvl w:val="0"/>
          <w:numId w:val="0"/>
        </w:numPr>
        <w:ind w:left="420" w:leftChars="0" w:firstLine="420" w:firstLineChars="0"/>
        <w:jc w:val="both"/>
        <w:rPr>
          <w:rFonts w:hint="eastAsia"/>
          <w:lang w:val="en-US" w:eastAsia="zh-CN"/>
        </w:rPr>
      </w:pPr>
      <w:r>
        <w:rPr>
          <w:rFonts w:hint="eastAsia"/>
          <w:lang w:val="en-US" w:eastAsia="zh-CN"/>
        </w:rPr>
        <w:t>接近女性化=0.50至0.99</w:t>
      </w:r>
    </w:p>
    <w:p>
      <w:pPr>
        <w:numPr>
          <w:ilvl w:val="0"/>
          <w:numId w:val="0"/>
        </w:numPr>
        <w:ind w:left="420" w:leftChars="0" w:firstLine="420" w:firstLineChars="0"/>
        <w:jc w:val="both"/>
        <w:rPr>
          <w:rFonts w:hint="eastAsia"/>
          <w:lang w:val="en-US" w:eastAsia="zh-CN"/>
        </w:rPr>
      </w:pPr>
      <w:r>
        <w:rPr>
          <w:rFonts w:hint="eastAsia"/>
          <w:lang w:val="en-US" w:eastAsia="zh-CN"/>
        </w:rPr>
        <w:t>双性化=-0.50至0.49</w:t>
      </w:r>
    </w:p>
    <w:p>
      <w:pPr>
        <w:numPr>
          <w:ilvl w:val="0"/>
          <w:numId w:val="0"/>
        </w:numPr>
        <w:ind w:left="420" w:leftChars="0" w:firstLine="420" w:firstLineChars="0"/>
        <w:jc w:val="both"/>
        <w:rPr>
          <w:rFonts w:hint="eastAsia"/>
          <w:lang w:val="en-US" w:eastAsia="zh-CN"/>
        </w:rPr>
      </w:pPr>
      <w:r>
        <w:rPr>
          <w:rFonts w:hint="eastAsia"/>
          <w:lang w:val="en-US" w:eastAsia="zh-CN"/>
        </w:rPr>
        <w:t>接近男性化=-1.00至-0.51</w:t>
      </w:r>
    </w:p>
    <w:p>
      <w:pPr>
        <w:numPr>
          <w:ilvl w:val="0"/>
          <w:numId w:val="0"/>
        </w:numPr>
        <w:ind w:left="420" w:leftChars="0" w:firstLine="420" w:firstLineChars="0"/>
        <w:jc w:val="both"/>
        <w:rPr>
          <w:rFonts w:hint="eastAsia"/>
          <w:lang w:val="en-US" w:eastAsia="zh-CN"/>
        </w:rPr>
      </w:pPr>
      <w:r>
        <w:rPr>
          <w:rFonts w:hint="eastAsia"/>
          <w:lang w:val="en-US" w:eastAsia="zh-CN"/>
        </w:rPr>
        <w:t>男性化=小于-1.00）</w:t>
      </w:r>
    </w:p>
    <w:p>
      <w:pPr>
        <w:numPr>
          <w:ilvl w:val="0"/>
          <w:numId w:val="0"/>
        </w:numPr>
        <w:jc w:val="center"/>
        <w:rPr>
          <w:rFonts w:hint="eastAsia"/>
          <w:lang w:val="en-US" w:eastAsia="zh-CN"/>
        </w:rPr>
      </w:pPr>
      <w:r>
        <w:rPr>
          <w:rFonts w:hint="eastAsia"/>
          <w:lang w:val="en-US" w:eastAsia="zh-CN"/>
        </w:rPr>
        <w:drawing>
          <wp:inline distT="0" distB="0" distL="114300" distR="114300">
            <wp:extent cx="3003550" cy="1710690"/>
            <wp:effectExtent l="0" t="0" r="6350" b="3810"/>
            <wp:docPr id="4" name="图片 4"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8"/>
                    <pic:cNvPicPr>
                      <a:picLocks noChangeAspect="1"/>
                    </pic:cNvPicPr>
                  </pic:nvPicPr>
                  <pic:blipFill>
                    <a:blip r:embed="rId5"/>
                    <a:stretch>
                      <a:fillRect/>
                    </a:stretch>
                  </pic:blipFill>
                  <pic:spPr>
                    <a:xfrm>
                      <a:off x="0" y="0"/>
                      <a:ext cx="3003550" cy="1710690"/>
                    </a:xfrm>
                    <a:prstGeom prst="rect">
                      <a:avLst/>
                    </a:prstGeom>
                  </pic:spPr>
                </pic:pic>
              </a:graphicData>
            </a:graphic>
          </wp:inline>
        </w:drawing>
      </w:r>
    </w:p>
    <w:p>
      <w:pPr>
        <w:numPr>
          <w:ilvl w:val="0"/>
          <w:numId w:val="0"/>
        </w:numPr>
        <w:ind w:firstLine="420" w:firstLineChars="0"/>
        <w:jc w:val="both"/>
        <w:rPr>
          <w:rFonts w:hint="eastAsia"/>
          <w:lang w:val="en-US" w:eastAsia="zh-CN"/>
        </w:rPr>
      </w:pPr>
      <w:r>
        <w:rPr>
          <w:rFonts w:hint="eastAsia"/>
          <w:lang w:val="en-US" w:eastAsia="zh-CN"/>
        </w:rPr>
        <w:t>这一结果说明，即使人们普遍认为女性会展现更多女性化特质，而男性会展现更多男性化特质，但实验结果表明一般人事实上会同时展现男性化和女性化两种特质。大多数人的性别特质并不是非此即彼、二元对立的，而是二者兼有之。所谓社会对性别的固有观念不过是一种错误的刻板印象罢了。</w:t>
      </w:r>
    </w:p>
    <w:p>
      <w:pPr>
        <w:numPr>
          <w:ilvl w:val="0"/>
          <w:numId w:val="0"/>
        </w:numPr>
        <w:jc w:val="both"/>
        <w:rPr>
          <w:rFonts w:hint="eastAsia"/>
          <w:lang w:val="en-US" w:eastAsia="zh-CN"/>
        </w:rPr>
      </w:pPr>
      <w:r>
        <w:rPr>
          <w:rFonts w:hint="eastAsia"/>
          <w:lang w:val="en-US" w:eastAsia="zh-CN"/>
        </w:rPr>
        <w:t>四、BSRI的效度检测</w:t>
      </w:r>
    </w:p>
    <w:p>
      <w:pPr>
        <w:numPr>
          <w:ilvl w:val="0"/>
          <w:numId w:val="1"/>
        </w:numPr>
        <w:jc w:val="both"/>
        <w:rPr>
          <w:rFonts w:hint="eastAsia"/>
          <w:lang w:val="en-US" w:eastAsia="zh-CN"/>
        </w:rPr>
      </w:pPr>
      <w:r>
        <w:rPr>
          <w:rFonts w:hint="eastAsia"/>
          <w:lang w:val="en-US" w:eastAsia="zh-CN"/>
        </w:rPr>
        <w:t>相关性检验</w:t>
      </w:r>
    </w:p>
    <w:p>
      <w:pPr>
        <w:numPr>
          <w:ilvl w:val="0"/>
          <w:numId w:val="0"/>
        </w:numPr>
        <w:ind w:firstLine="420" w:firstLineChars="0"/>
        <w:jc w:val="both"/>
        <w:rPr>
          <w:rFonts w:hint="eastAsia" w:hAnsi="Cambria Math" w:cstheme="minorBidi"/>
          <w:i w:val="0"/>
          <w:kern w:val="2"/>
          <w:sz w:val="21"/>
          <w:szCs w:val="24"/>
          <w:lang w:val="en-US" w:eastAsia="zh-CN" w:bidi="ar-SA"/>
        </w:rPr>
      </w:pPr>
      <w:r>
        <w:rPr>
          <w:rFonts w:hint="eastAsia"/>
          <w:lang w:val="en-US" w:eastAsia="zh-CN"/>
        </w:rPr>
        <w:t>通过调查对象的男性化得分和女性化得分，我们可以计算得到这两种得分的相关系数。在男性受访者中，相关系数为</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eastAsia" w:ascii="Cambria Math" w:hAnsi="Cambria Math"/>
                <w:lang w:val="en-US" w:eastAsia="zh-CN"/>
              </w:rPr>
              <m:t>1</m:t>
            </m:r>
            <m:ctrlPr>
              <w:rPr>
                <w:rFonts w:hint="eastAsia" w:ascii="Cambria Math" w:hAnsi="Cambria Math"/>
                <w:i/>
                <w:lang w:val="en-US" w:eastAsia="zh-CN"/>
              </w:rPr>
            </m:ctrlPr>
          </m:sub>
        </m:sSub>
      </m:oMath>
      <w:r>
        <w:rPr>
          <w:rFonts w:hint="eastAsia" w:hAnsi="Cambria Math"/>
          <w:i w:val="0"/>
          <w:lang w:val="en-US" w:eastAsia="zh-CN"/>
        </w:rPr>
        <w:t>=0.13；在女性受访者中，相关系数为</w:t>
      </w:r>
      <m:oMath>
        <m:sSub>
          <m:sSubPr>
            <m:ctrlPr>
              <w:rPr>
                <w:rFonts w:ascii="Cambria Math" w:hAnsi="Cambria Math"/>
                <w:i/>
                <w:lang w:val="en-US"/>
              </w:rPr>
            </m:ctrlPr>
          </m:sSubPr>
          <m:e>
            <m:r>
              <m:rPr/>
              <w:rPr>
                <w:rFonts w:hint="default" w:ascii="Cambria Math" w:hAnsi="Cambria Math"/>
                <w:lang w:val="en-US" w:eastAsia="zh-CN"/>
              </w:rPr>
              <m:t>r</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hAnsi="Cambria Math"/>
          <w:i w:val="0"/>
          <w:lang w:val="en-US" w:eastAsia="zh-CN"/>
        </w:rPr>
        <w:t>=0.22；受访者全体的相关系数为</w:t>
      </w:r>
      <m:oMath>
        <m:r>
          <m:rPr>
            <m:sty m:val="p"/>
          </m:rPr>
          <w:rPr>
            <w:rFonts w:hint="default" w:ascii="Cambria Math" w:hAnsi="Cambria Math" w:cstheme="minorBidi"/>
            <w:kern w:val="2"/>
            <w:sz w:val="21"/>
            <w:szCs w:val="24"/>
            <w:lang w:val="en-US" w:eastAsia="zh-CN" w:bidi="ar-SA"/>
          </w:rPr>
          <m:t>r</m:t>
        </m:r>
      </m:oMath>
      <w:r>
        <w:rPr>
          <w:rFonts w:hint="eastAsia" w:hAnsi="Cambria Math" w:cstheme="minorBidi"/>
          <w:i w:val="0"/>
          <w:kern w:val="2"/>
          <w:sz w:val="21"/>
          <w:szCs w:val="24"/>
          <w:lang w:val="en-US" w:eastAsia="zh-CN" w:bidi="ar-SA"/>
        </w:rPr>
        <w:t>=0.19。</w:t>
      </w:r>
      <w:r>
        <w:rPr>
          <w:rFonts w:hint="eastAsia" w:hAnsi="Cambria Math" w:cstheme="minorBidi"/>
          <w:i w:val="0"/>
          <w:kern w:val="2"/>
          <w:sz w:val="21"/>
          <w:szCs w:val="24"/>
          <w:lang w:val="en-US" w:eastAsia="zh-CN" w:bidi="ar-SA"/>
        </w:rPr>
        <w:tab/>
      </w:r>
      <w:r>
        <w:rPr>
          <w:rFonts w:hint="eastAsia" w:hAnsi="Cambria Math" w:cstheme="minorBidi"/>
          <w:i w:val="0"/>
          <w:kern w:val="2"/>
          <w:sz w:val="21"/>
          <w:szCs w:val="24"/>
          <w:lang w:val="en-US" w:eastAsia="zh-CN" w:bidi="ar-SA"/>
        </w:rPr>
        <w:t>由此我们可以发现两种得分的相关性较低，更没有在男性化和女性化之间出现较强的负相关性。因此，男性化和女性化在测量中是两个相对独立的性别维度，对这两种特质的测量功能相互独立。</w:t>
      </w:r>
    </w:p>
    <w:p>
      <w:pPr>
        <w:numPr>
          <w:ilvl w:val="0"/>
          <w:numId w:val="1"/>
        </w:numPr>
        <w:ind w:left="0" w:leftChars="0" w:firstLine="0" w:firstLineChars="0"/>
        <w:jc w:val="both"/>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规范性检验</w:t>
      </w:r>
    </w:p>
    <w:p>
      <w:pPr>
        <w:numPr>
          <w:ilvl w:val="0"/>
          <w:numId w:val="0"/>
        </w:numPr>
        <w:ind w:leftChars="0" w:firstLine="420" w:firstLineChars="0"/>
        <w:jc w:val="both"/>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为了证实此量表测量的确实是男性化和女性化的性别特征，下表分析了男性和女性进行这两种测量所得的平均分：</w:t>
      </w:r>
    </w:p>
    <w:p>
      <w:pPr>
        <w:numPr>
          <w:ilvl w:val="0"/>
          <w:numId w:val="0"/>
        </w:numPr>
        <w:ind w:leftChars="0" w:firstLine="420" w:firstLineChars="0"/>
        <w:jc w:val="center"/>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表二</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pPr>
              <w:numPr>
                <w:ilvl w:val="0"/>
                <w:numId w:val="0"/>
              </w:numPr>
              <w:jc w:val="both"/>
              <w:rPr>
                <w:rFonts w:hint="default" w:hAnsi="Cambria Math" w:cstheme="minorBidi"/>
                <w:i w:val="0"/>
                <w:kern w:val="2"/>
                <w:sz w:val="21"/>
                <w:szCs w:val="24"/>
                <w:vertAlign w:val="baseline"/>
                <w:lang w:val="en-US" w:eastAsia="zh-CN" w:bidi="ar-SA"/>
              </w:rPr>
            </w:pPr>
          </w:p>
        </w:tc>
        <w:tc>
          <w:tcPr>
            <w:tcW w:w="2841" w:type="dxa"/>
          </w:tcPr>
          <w:p>
            <w:pPr>
              <w:numPr>
                <w:ilvl w:val="0"/>
                <w:numId w:val="0"/>
              </w:numPr>
              <w:jc w:val="center"/>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男性化得分</w:t>
            </w:r>
          </w:p>
        </w:tc>
        <w:tc>
          <w:tcPr>
            <w:tcW w:w="2841" w:type="dxa"/>
          </w:tcPr>
          <w:p>
            <w:pPr>
              <w:numPr>
                <w:ilvl w:val="0"/>
                <w:numId w:val="0"/>
              </w:numPr>
              <w:jc w:val="center"/>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女性化得分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pPr>
              <w:numPr>
                <w:ilvl w:val="0"/>
                <w:numId w:val="0"/>
              </w:numPr>
              <w:jc w:val="center"/>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男性</w:t>
            </w:r>
          </w:p>
        </w:tc>
        <w:tc>
          <w:tcPr>
            <w:tcW w:w="2841" w:type="dxa"/>
          </w:tcPr>
          <w:p>
            <w:pPr>
              <w:numPr>
                <w:ilvl w:val="0"/>
                <w:numId w:val="0"/>
              </w:numPr>
              <w:jc w:val="center"/>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4.484</w:t>
            </w:r>
          </w:p>
        </w:tc>
        <w:tc>
          <w:tcPr>
            <w:tcW w:w="2841" w:type="dxa"/>
          </w:tcPr>
          <w:p>
            <w:pPr>
              <w:numPr>
                <w:ilvl w:val="0"/>
                <w:numId w:val="0"/>
              </w:numPr>
              <w:jc w:val="center"/>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4.397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Pr>
          <w:p>
            <w:pPr>
              <w:numPr>
                <w:ilvl w:val="0"/>
                <w:numId w:val="0"/>
              </w:numPr>
              <w:jc w:val="center"/>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女性</w:t>
            </w:r>
          </w:p>
        </w:tc>
        <w:tc>
          <w:tcPr>
            <w:tcW w:w="2841" w:type="dxa"/>
          </w:tcPr>
          <w:p>
            <w:pPr>
              <w:numPr>
                <w:ilvl w:val="0"/>
                <w:numId w:val="0"/>
              </w:numPr>
              <w:jc w:val="center"/>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4.384</w:t>
            </w:r>
          </w:p>
        </w:tc>
        <w:tc>
          <w:tcPr>
            <w:tcW w:w="2841" w:type="dxa"/>
          </w:tcPr>
          <w:p>
            <w:pPr>
              <w:numPr>
                <w:ilvl w:val="0"/>
                <w:numId w:val="0"/>
              </w:numPr>
              <w:jc w:val="center"/>
              <w:rPr>
                <w:rFonts w:hint="default" w:hAnsi="Cambria Math" w:cstheme="minorBidi"/>
                <w:i w:val="0"/>
                <w:kern w:val="2"/>
                <w:sz w:val="21"/>
                <w:szCs w:val="24"/>
                <w:vertAlign w:val="baseline"/>
                <w:lang w:val="en-US" w:eastAsia="zh-CN" w:bidi="ar-SA"/>
              </w:rPr>
            </w:pPr>
            <w:r>
              <w:rPr>
                <w:rFonts w:hint="eastAsia" w:hAnsi="Cambria Math" w:cstheme="minorBidi"/>
                <w:i w:val="0"/>
                <w:kern w:val="2"/>
                <w:sz w:val="21"/>
                <w:szCs w:val="24"/>
                <w:vertAlign w:val="baseline"/>
                <w:lang w:val="en-US" w:eastAsia="zh-CN" w:bidi="ar-SA"/>
              </w:rPr>
              <w:t>4.461</w:t>
            </w:r>
          </w:p>
        </w:tc>
      </w:tr>
    </w:tbl>
    <w:p>
      <w:pPr>
        <w:numPr>
          <w:ilvl w:val="0"/>
          <w:numId w:val="0"/>
        </w:numPr>
        <w:jc w:val="both"/>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下面两张饼图（图三、图四）和一张柱形图（图五）更清晰地展示了上面说的差异性：</w:t>
      </w:r>
    </w:p>
    <w:p>
      <w:pPr>
        <w:numPr>
          <w:ilvl w:val="0"/>
          <w:numId w:val="0"/>
        </w:numPr>
        <w:jc w:val="both"/>
        <w:rPr>
          <w:rFonts w:hint="default" w:hAnsi="Cambria Math" w:cstheme="minorBidi"/>
          <w:i w:val="0"/>
          <w:kern w:val="2"/>
          <w:sz w:val="21"/>
          <w:szCs w:val="24"/>
          <w:lang w:val="en-US" w:eastAsia="zh-CN" w:bidi="ar-SA"/>
        </w:rPr>
      </w:pPr>
    </w:p>
    <w:p>
      <w:pPr>
        <w:numPr>
          <w:ilvl w:val="0"/>
          <w:numId w:val="0"/>
        </w:numPr>
        <w:ind w:firstLine="420" w:firstLineChars="0"/>
        <w:jc w:val="center"/>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drawing>
          <wp:inline distT="0" distB="0" distL="114300" distR="114300">
            <wp:extent cx="3739515" cy="2128520"/>
            <wp:effectExtent l="0" t="0" r="6985" b="5080"/>
            <wp:docPr id="7" name="图片 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9"/>
                    <pic:cNvPicPr>
                      <a:picLocks noChangeAspect="1"/>
                    </pic:cNvPicPr>
                  </pic:nvPicPr>
                  <pic:blipFill>
                    <a:blip r:embed="rId6"/>
                    <a:stretch>
                      <a:fillRect/>
                    </a:stretch>
                  </pic:blipFill>
                  <pic:spPr>
                    <a:xfrm>
                      <a:off x="0" y="0"/>
                      <a:ext cx="3739515" cy="2128520"/>
                    </a:xfrm>
                    <a:prstGeom prst="rect">
                      <a:avLst/>
                    </a:prstGeom>
                  </pic:spPr>
                </pic:pic>
              </a:graphicData>
            </a:graphic>
          </wp:inline>
        </w:drawing>
      </w:r>
    </w:p>
    <w:p>
      <w:pPr>
        <w:numPr>
          <w:ilvl w:val="0"/>
          <w:numId w:val="0"/>
        </w:numPr>
        <w:ind w:firstLine="420" w:firstLineChars="0"/>
        <w:jc w:val="center"/>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drawing>
          <wp:inline distT="0" distB="0" distL="114300" distR="114300">
            <wp:extent cx="3719195" cy="2117090"/>
            <wp:effectExtent l="0" t="0" r="1905" b="3810"/>
            <wp:docPr id="8" name="图片 8"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10"/>
                    <pic:cNvPicPr>
                      <a:picLocks noChangeAspect="1"/>
                    </pic:cNvPicPr>
                  </pic:nvPicPr>
                  <pic:blipFill>
                    <a:blip r:embed="rId7"/>
                    <a:stretch>
                      <a:fillRect/>
                    </a:stretch>
                  </pic:blipFill>
                  <pic:spPr>
                    <a:xfrm>
                      <a:off x="0" y="0"/>
                      <a:ext cx="3719195" cy="2117090"/>
                    </a:xfrm>
                    <a:prstGeom prst="rect">
                      <a:avLst/>
                    </a:prstGeom>
                  </pic:spPr>
                </pic:pic>
              </a:graphicData>
            </a:graphic>
          </wp:inline>
        </w:drawing>
      </w:r>
    </w:p>
    <w:p>
      <w:pPr>
        <w:numPr>
          <w:ilvl w:val="0"/>
          <w:numId w:val="0"/>
        </w:numPr>
        <w:ind w:firstLine="420" w:firstLineChars="0"/>
        <w:jc w:val="center"/>
        <w:rPr>
          <w:rFonts w:hint="default" w:hAnsi="Cambria Math" w:cstheme="minorBidi"/>
          <w:i w:val="0"/>
          <w:kern w:val="2"/>
          <w:sz w:val="21"/>
          <w:szCs w:val="24"/>
          <w:lang w:val="en-US" w:eastAsia="zh-CN" w:bidi="ar-SA"/>
        </w:rPr>
      </w:pPr>
      <w:r>
        <w:rPr>
          <w:rFonts w:hint="default" w:hAnsi="Cambria Math" w:cstheme="minorBidi"/>
          <w:i w:val="0"/>
          <w:kern w:val="2"/>
          <w:sz w:val="21"/>
          <w:szCs w:val="24"/>
          <w:lang w:val="en-US" w:eastAsia="zh-CN" w:bidi="ar-SA"/>
        </w:rPr>
        <w:drawing>
          <wp:inline distT="0" distB="0" distL="114300" distR="114300">
            <wp:extent cx="4839970" cy="2755265"/>
            <wp:effectExtent l="0" t="0" r="11430" b="635"/>
            <wp:docPr id="9" name="图片 9"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1"/>
                    <pic:cNvPicPr>
                      <a:picLocks noChangeAspect="1"/>
                    </pic:cNvPicPr>
                  </pic:nvPicPr>
                  <pic:blipFill>
                    <a:blip r:embed="rId8"/>
                    <a:stretch>
                      <a:fillRect/>
                    </a:stretch>
                  </pic:blipFill>
                  <pic:spPr>
                    <a:xfrm>
                      <a:off x="0" y="0"/>
                      <a:ext cx="4839970" cy="2755265"/>
                    </a:xfrm>
                    <a:prstGeom prst="rect">
                      <a:avLst/>
                    </a:prstGeom>
                  </pic:spPr>
                </pic:pic>
              </a:graphicData>
            </a:graphic>
          </wp:inline>
        </w:drawing>
      </w:r>
    </w:p>
    <w:p>
      <w:pPr>
        <w:numPr>
          <w:ilvl w:val="0"/>
          <w:numId w:val="0"/>
        </w:numPr>
        <w:ind w:firstLine="420" w:firstLineChars="0"/>
        <w:jc w:val="both"/>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由图表可知，男性在男性化测试上得分高于女性化测试上的得分，而女性的在女性化测试上的得分高于在男性化测试上的得分。于是我们可以知道，此量表测量的确实是男性化和女性化的性别特征。</w:t>
      </w:r>
    </w:p>
    <w:p>
      <w:pPr>
        <w:numPr>
          <w:ilvl w:val="0"/>
          <w:numId w:val="0"/>
        </w:numPr>
        <w:jc w:val="both"/>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五、总结与思考</w:t>
      </w:r>
    </w:p>
    <w:p>
      <w:pPr>
        <w:numPr>
          <w:ilvl w:val="0"/>
          <w:numId w:val="0"/>
        </w:numPr>
        <w:ind w:leftChars="0" w:firstLine="420" w:firstLineChars="0"/>
        <w:jc w:val="both"/>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贝姆在提出BSRI的文章的最后写道：</w:t>
      </w:r>
    </w:p>
    <w:p>
      <w:pPr>
        <w:keepNext w:val="0"/>
        <w:keepLines w:val="0"/>
        <w:pageBreakBefore w:val="0"/>
        <w:widowControl w:val="0"/>
        <w:numPr>
          <w:ilvl w:val="0"/>
          <w:numId w:val="0"/>
        </w:numPr>
        <w:kinsoku/>
        <w:wordWrap/>
        <w:overflowPunct/>
        <w:topLinePunct w:val="0"/>
        <w:autoSpaceDE/>
        <w:autoSpaceDN/>
        <w:bidi w:val="0"/>
        <w:adjustRightInd/>
        <w:snapToGrid/>
        <w:ind w:left="315" w:leftChars="150" w:right="315" w:rightChars="150" w:firstLine="420" w:firstLineChars="0"/>
        <w:jc w:val="both"/>
        <w:textAlignment w:val="auto"/>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希望BSRI的出现和发展，能够鼓励在性别差异和性别角色领域的研究者们去质疑那种用性别类型说明心理健康的传统观点，并转而关注这种更为灵活的性别角色观念对人类行为以及社会所产生的影响。当性别角色的硬性划分已经不再适用于这个社会时，也许双性化人这一概念将为心理健康建立一条更为人性化的标准。</w:t>
      </w:r>
    </w:p>
    <w:p>
      <w:pPr>
        <w:keepNext w:val="0"/>
        <w:keepLines w:val="0"/>
        <w:pageBreakBefore w:val="0"/>
        <w:widowControl w:val="0"/>
        <w:numPr>
          <w:ilvl w:val="0"/>
          <w:numId w:val="0"/>
        </w:numPr>
        <w:kinsoku/>
        <w:wordWrap/>
        <w:overflowPunct/>
        <w:topLinePunct w:val="0"/>
        <w:autoSpaceDE/>
        <w:autoSpaceDN/>
        <w:bidi w:val="0"/>
        <w:adjustRightInd/>
        <w:snapToGrid/>
        <w:ind w:right="315" w:rightChars="150" w:firstLine="420" w:firstLineChars="0"/>
        <w:jc w:val="both"/>
        <w:textAlignment w:val="auto"/>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我相信这段话足以让我们明白双性化研究的意义。这意味着我们的行为理应不受社会上对性别的传统的刻板印象的约束，在行事时也不用考虑社会对某一性别的期望，而是自由地从事自己想做的事情。在贝姆的研究已经过去半个世纪的当下，性别刻板印象依然在约束着我们的行为。在我曾经就读的高中，我见过男生因为轻声细语地说话而被嘲讽；同时，人们在谈论理科学习时会下意识地认为女生不如男生，这种刻板印象时如此根深蒂固，在填报志愿时，父母们会自然而然地为女孩选择偏文科的专业而为男孩选择偏理科的专业。性别刻板印象潜移默化地融入我们的生活，以至于女孩填报纯理学被认为是“自不量力的”。对性别角色的种种期望依旧在很大程度上影响这我们的行为和选择，扼杀了更多的可能性。</w:t>
      </w:r>
    </w:p>
    <w:p>
      <w:pPr>
        <w:keepNext w:val="0"/>
        <w:keepLines w:val="0"/>
        <w:pageBreakBefore w:val="0"/>
        <w:widowControl w:val="0"/>
        <w:numPr>
          <w:ilvl w:val="0"/>
          <w:numId w:val="0"/>
        </w:numPr>
        <w:kinsoku/>
        <w:wordWrap/>
        <w:overflowPunct/>
        <w:topLinePunct w:val="0"/>
        <w:autoSpaceDE/>
        <w:autoSpaceDN/>
        <w:bidi w:val="0"/>
        <w:adjustRightInd/>
        <w:snapToGrid/>
        <w:ind w:right="315" w:rightChars="150" w:firstLine="420" w:firstLineChars="0"/>
        <w:jc w:val="both"/>
        <w:textAlignment w:val="auto"/>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然而，从上面的调查中可以发现，我们的基因组成中是否含有Y染色体并不会影响某些性别</w:t>
      </w:r>
      <w:bookmarkStart w:id="0" w:name="_GoBack"/>
      <w:bookmarkEnd w:id="0"/>
      <w:r>
        <w:rPr>
          <w:rFonts w:hint="eastAsia" w:hAnsi="Cambria Math" w:cstheme="minorBidi"/>
          <w:i w:val="0"/>
          <w:kern w:val="2"/>
          <w:sz w:val="21"/>
          <w:szCs w:val="24"/>
          <w:lang w:val="en-US" w:eastAsia="zh-CN" w:bidi="ar-SA"/>
        </w:rPr>
        <w:t>特质在我们身上的体现，我们的性别也不应该限制我们的行为，我们完全可以兼具男性化和女性化的积极特质，自由地选择我们在社会中扮演的角色。从20世纪至今有关双性化的研究中，我们可以得知双性化的儿童和成人趋于拥有更高水平的自尊，而且在多样化的情境中适应性更强。此外，双性化个体更易与异性建立起亲密关系，可能是由于他们能更好地理解、接受彼此间的差异。更多近期研究揭示，具有积极的双性化特征的人在心理上更健康，更快乐。</w:t>
      </w:r>
    </w:p>
    <w:p>
      <w:pPr>
        <w:keepNext w:val="0"/>
        <w:keepLines w:val="0"/>
        <w:pageBreakBefore w:val="0"/>
        <w:widowControl w:val="0"/>
        <w:numPr>
          <w:ilvl w:val="0"/>
          <w:numId w:val="0"/>
        </w:numPr>
        <w:kinsoku/>
        <w:wordWrap/>
        <w:overflowPunct/>
        <w:topLinePunct w:val="0"/>
        <w:autoSpaceDE/>
        <w:autoSpaceDN/>
        <w:bidi w:val="0"/>
        <w:adjustRightInd/>
        <w:snapToGrid/>
        <w:ind w:right="315" w:rightChars="150" w:firstLine="420" w:firstLineChars="0"/>
        <w:jc w:val="both"/>
        <w:textAlignment w:val="auto"/>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希望双性化相关的研究，可以作为打破性别藩篱的利器，在21世纪的今天，我们可以更加平等地拥抱多元的世界，去拓展我们的行为模式，去更自由地选择我们的生活方式。</w:t>
      </w:r>
    </w:p>
    <w:p>
      <w:pPr>
        <w:keepNext w:val="0"/>
        <w:keepLines w:val="0"/>
        <w:pageBreakBefore w:val="0"/>
        <w:widowControl w:val="0"/>
        <w:numPr>
          <w:ilvl w:val="0"/>
          <w:numId w:val="0"/>
        </w:numPr>
        <w:kinsoku/>
        <w:wordWrap/>
        <w:overflowPunct/>
        <w:topLinePunct w:val="0"/>
        <w:autoSpaceDE/>
        <w:autoSpaceDN/>
        <w:bidi w:val="0"/>
        <w:adjustRightInd/>
        <w:snapToGrid/>
        <w:ind w:right="315" w:rightChars="150" w:firstLine="420" w:firstLineChars="0"/>
        <w:jc w:val="both"/>
        <w:textAlignment w:val="auto"/>
        <w:rPr>
          <w:rFonts w:hint="default" w:hAnsi="Cambria Math" w:cstheme="minorBidi"/>
          <w:i w:val="0"/>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8BAF28"/>
    <w:multiLevelType w:val="singleLevel"/>
    <w:tmpl w:val="728BAF2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Y3Mjg3YTY0M2FkYzQ0ZWU2NjE0NDY1YWY1MmI1YWEifQ=="/>
  </w:docVars>
  <w:rsids>
    <w:rsidRoot w:val="00000000"/>
    <w:rsid w:val="1446020C"/>
    <w:rsid w:val="222F6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306</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2023-12-07T08:00:00Z</dcterms:created>
  <dc:creator>Clown</dc:creator>
  <cp:lastModifiedBy>陈卓妍</cp:lastModifiedBy>
  <dcterms:modified xsi:type="dcterms:W3CDTF">2023-12-26T13:08:26Z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2308111F2B5241DEA1A14D43EB0C9A0F_12</vt:lpwstr>
  </property>
</Properties>
</file>