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32"/>
          <w:szCs w:val="28"/>
        </w:rPr>
      </w:pPr>
      <w:r>
        <w:rPr>
          <w:rFonts w:ascii="Times New Roman" w:hAnsi="Times New Roman" w:eastAsia="黑体" w:cs="Times New Roman"/>
          <w:sz w:val="32"/>
          <w:szCs w:val="28"/>
        </w:rPr>
        <w:t>上海交通大学</w:t>
      </w: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《电子电路系统实验》</w:t>
      </w:r>
      <w:r>
        <w:rPr>
          <w:rFonts w:hint="eastAsia" w:ascii="Times New Roman" w:hAnsi="Times New Roman" w:eastAsia="黑体" w:cs="Times New Roman"/>
          <w:sz w:val="28"/>
          <w:szCs w:val="28"/>
        </w:rPr>
        <w:t>实验</w:t>
      </w:r>
      <w:r>
        <w:rPr>
          <w:rFonts w:ascii="Times New Roman" w:hAnsi="Times New Roman" w:eastAsia="黑体" w:cs="Times New Roman"/>
          <w:sz w:val="28"/>
          <w:szCs w:val="28"/>
        </w:rPr>
        <w:t>报告</w:t>
      </w:r>
    </w:p>
    <w:p>
      <w:pPr>
        <w:spacing w:line="360" w:lineRule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sz w:val="24"/>
          <w:szCs w:val="24"/>
        </w:rPr>
        <w:t xml:space="preserve">实验名称：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集成运算放大器</w:t>
      </w:r>
    </w:p>
    <w:p>
      <w:pPr>
        <w:spacing w:line="360" w:lineRule="auto"/>
        <w:jc w:val="left"/>
        <w:rPr>
          <w:rFonts w:hint="eastAsia"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班级 AI2618-</w:t>
      </w:r>
      <w:r>
        <w:rPr>
          <w:rFonts w:hint="eastAsia" w:ascii="Times New Roman" w:hAnsi="Times New Roman" w:eastAsia="黑体" w:cs="Times New Roman"/>
          <w:sz w:val="24"/>
          <w:szCs w:val="24"/>
        </w:rPr>
        <w:t>03</w:t>
      </w:r>
    </w:p>
    <w:p>
      <w:pPr>
        <w:pBdr>
          <w:bottom w:val="single" w:color="auto" w:sz="6" w:space="1"/>
        </w:pBdr>
        <w:spacing w:line="360" w:lineRule="auto"/>
        <w:rPr>
          <w:rFonts w:hint="default" w:ascii="Times New Roman" w:hAnsi="Times New Roman" w:eastAsia="黑体" w:cs="Times New Roman"/>
          <w:sz w:val="22"/>
          <w:lang w:val="en-US" w:eastAsia="zh-CN"/>
        </w:rPr>
      </w:pPr>
      <w:r>
        <w:rPr>
          <w:rFonts w:ascii="Times New Roman" w:hAnsi="Times New Roman" w:eastAsia="黑体" w:cs="Times New Roman"/>
          <w:sz w:val="24"/>
          <w:szCs w:val="24"/>
        </w:rPr>
        <w:t xml:space="preserve">姓名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陈卓妍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 学号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523030910037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     实验日期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11.13</w:t>
      </w:r>
    </w:p>
    <w:p>
      <w:pPr>
        <w:rPr>
          <w:rFonts w:hint="eastAsia" w:ascii="宋体" w:hAnsi="宋体" w:eastAsia="宋体"/>
        </w:rPr>
      </w:pPr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实验</w:t>
      </w:r>
      <w:r>
        <w:rPr>
          <w:rFonts w:hint="eastAsia" w:ascii="Times New Roman" w:hAnsi="Times New Roman" w:eastAsia="宋体" w:cs="Times New Roman"/>
        </w:rPr>
        <w:t>目的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了解集成运算放大器的结构集工作原理。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构成典型应用电路（反相比例、同相比例、求和、差分、积分、微分）。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m:rPr/>
        <w:rPr>
          <w:rFonts w:hint="eastAsia" w:hAnsi="Cambria Math" w:cs="Times New Roman"/>
          <w:i w:val="0"/>
          <w:lang w:val="en-US" w:eastAsia="zh-CN"/>
        </w:rPr>
        <w:t>基于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JDEE−ADII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实验电路板完成实验</w:t>
      </w:r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实验原理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m:rPr/>
        <w:rPr>
          <w:rFonts w:hint="eastAsia" w:hAnsi="Cambria Math" w:cs="Times New Roman"/>
          <w:b w:val="0"/>
          <w:i w:val="0"/>
          <w:lang w:val="en-US" w:eastAsia="zh-CN"/>
        </w:rPr>
        <w:t>：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278120" cy="2255520"/>
            <wp:effectExtent l="0" t="0" r="5080" b="5080"/>
            <wp:docPr id="3" name="图片 3" descr="屏幕截图 2024-11-19 133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1-19 1339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运放的电压传输性质：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&gt;&gt;0</m:t>
        </m:r>
      </m:oMath>
    </w:p>
    <w:p>
      <w:pPr>
        <w:pStyle w:val="12"/>
        <w:numPr>
          <w:ilvl w:val="2"/>
          <w:numId w:val="2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线性工作区：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(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)</m:t>
        </m:r>
      </m:oMath>
    </w:p>
    <w:p>
      <w:pPr>
        <w:pStyle w:val="12"/>
        <w:numPr>
          <w:ilvl w:val="2"/>
          <w:numId w:val="2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正饱和区：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CC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+</m:t>
        </m:r>
      </m:oMath>
    </w:p>
    <w:p>
      <w:pPr>
        <w:pStyle w:val="12"/>
        <w:numPr>
          <w:ilvl w:val="2"/>
          <w:numId w:val="2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m:rPr/>
        <w:rPr>
          <w:rFonts w:hint="eastAsia" w:hAnsi="Cambria Math" w:cs="Times New Roman"/>
          <w:i w:val="0"/>
          <w:lang w:val="en-US" w:eastAsia="zh-CN"/>
        </w:rPr>
        <w:t>负饱和区：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CC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</m:oMath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运放的特性：</w:t>
      </w:r>
    </w:p>
    <w:p>
      <w:pPr>
        <w:pStyle w:val="12"/>
        <w:numPr>
          <w:ilvl w:val="2"/>
          <w:numId w:val="1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虚断：输入电阻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w:rPr>
            <w:rFonts w:hint="default" w:ascii="Cambria Math" w:hAnsi="Cambria Math" w:cs="Cambria Math"/>
            <w:lang w:val="en-US"/>
          </w:rPr>
          <m:t>→∞</m:t>
        </m:r>
        <m:r>
          <m:rPr/>
          <w:rPr>
            <w:rFonts w:hint="default" w:ascii="Cambria Math" w:hAnsi="Cambria Math" w:cs="Times New Roman"/>
            <w:lang w:val="en-US" w:eastAsia="zh-CN"/>
          </w:rPr>
          <m:t xml:space="preserve">, 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≈</m:t>
        </m:r>
        <m:r>
          <m:rPr/>
          <w:rPr>
            <w:rFonts w:hint="default" w:ascii="Cambria Math" w:hAnsi="Cambria Math" w:cs="Times New Roman"/>
            <w:lang w:val="en-US" w:eastAsia="zh-CN"/>
          </w:rPr>
          <m:t>0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,运放两端近似开路</w:t>
      </w:r>
    </w:p>
    <w:p>
      <w:pPr>
        <w:pStyle w:val="12"/>
        <w:numPr>
          <w:ilvl w:val="2"/>
          <w:numId w:val="1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w:r>
        <m:rPr/>
        <w:rPr>
          <w:rFonts w:hint="eastAsia" w:hAnsi="Cambria Math" w:cs="Times New Roman"/>
          <w:i w:val="0"/>
          <w:lang w:val="en-US" w:eastAsia="zh-CN"/>
        </w:rPr>
        <w:t>虚短：电压增益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w:rPr>
            <w:rFonts w:hint="default" w:ascii="Cambria Math" w:hAnsi="Cambria Math" w:cs="Cambria Math"/>
            <w:lang w:val="en-US"/>
          </w:rPr>
          <m:t>→∞</m:t>
        </m:r>
        <m:r>
          <m:rPr/>
          <w:rPr>
            <w:rFonts w:hint="default" w:ascii="Cambria Math" w:hAnsi="Cambria Math" w:cs="Cambria Math"/>
            <w:lang w:val="en-US" w:eastAsia="zh-CN"/>
          </w:rPr>
          <m:t>,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u</m:t>
            </m: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P</m:t>
            </m: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−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u</m:t>
            </m: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≈0</m:t>
        </m:r>
      </m:oMath>
      <w:r>
        <m:rPr/>
        <w:rPr>
          <w:rFonts w:hint="eastAsia" w:hAnsi="Cambria Math" w:cs="Cambria Math"/>
          <w:i w:val="0"/>
          <w:lang w:val="en-US" w:eastAsia="zh-CN"/>
        </w:rPr>
        <w:t>,运放两端近似短路</w:t>
      </w:r>
    </w:p>
    <w:p>
      <w:pPr>
        <w:pStyle w:val="12"/>
        <w:numPr>
          <w:ilvl w:val="2"/>
          <w:numId w:val="1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为集成运放开环电压增益，通常可达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p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4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p>
        </m:sSup>
      </m:oMath>
      <w:r>
        <w:rPr>
          <w:rFonts w:hint="eastAsia" w:hAnsi="Cambria Math" w:cs="Times New Roman"/>
          <w:i w:val="0"/>
          <w:lang w:val="en-US" w:eastAsia="zh-CN"/>
        </w:rPr>
        <w:t>以上，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通常为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p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6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p>
        </m:sSup>
        <m:r>
          <w:rPr>
            <w:rFonts w:hint="default" w:ascii="Cambria Math" w:hAnsi="Cambria Math" w:cs="Cambria Math"/>
            <w:lang w:val="en-US"/>
          </w:rPr>
          <m:t>Ω</m:t>
        </m:r>
      </m:oMath>
      <w:r>
        <m:rPr/>
        <w:rPr>
          <w:rFonts w:hint="eastAsia" w:hAnsi="Cambria Math" w:cs="Times New Roman"/>
          <w:i w:val="0"/>
          <w:lang w:val="en-US" w:eastAsia="zh-CN"/>
          <w:oMath/>
        </w:rPr>
        <w:t>或</w:t>
      </w:r>
      <w:r>
        <m:rPr/>
        <w:rPr>
          <w:rFonts w:hint="eastAsia" w:hAnsi="Cambria Math" w:cs="Times New Roman"/>
          <w:i w:val="0"/>
          <w:lang w:val="en-US" w:eastAsia="zh-CN"/>
        </w:rPr>
        <w:t>更高</w:t>
      </w:r>
      <w:r>
        <m:rPr/>
        <w:rPr>
          <w:rFonts w:hint="eastAsia" w:hAnsi="Cambria Math" w:cs="Times New Roman"/>
          <w:i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lang w:val="en-US" w:eastAsia="zh-CN"/>
        </w:rPr>
        <w:t>通常小于</w:t>
      </w:r>
      <m:oMath>
        <m:r>
          <m:rPr/>
          <w:rPr>
            <w:rFonts w:hint="eastAsia" w:ascii="Cambria Math" w:hAnsi="Cambria Math" w:cs="Times New Roman"/>
            <w:kern w:val="2"/>
            <w:sz w:val="21"/>
            <w:szCs w:val="22"/>
            <w:lang w:val="en-US" w:eastAsia="zh-CN" w:bidi="ar-SA"/>
          </w:rPr>
          <m:t>100</m:t>
        </m:r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Ω</m:t>
        </m:r>
      </m:oMath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实验仪器</w:t>
      </w:r>
    </w:p>
    <w:p>
      <w:pPr>
        <w:pStyle w:val="12"/>
        <w:numPr>
          <w:numId w:val="0"/>
        </w:numPr>
        <w:spacing w:before="156" w:beforeLines="50" w:after="156" w:afterLines="50"/>
        <w:ind w:leftChars="0" w:firstLine="420" w:firstLineChars="0"/>
        <w:rPr>
          <w:rFonts w:hint="default" w:ascii="Times New Roman" w:hAnsi="Times New Roman" w:eastAsia="宋体" w:cs="Times New Roman"/>
          <w:lang w:val="en-US"/>
        </w:rPr>
      </w:pP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JDEE−ADII</m:t>
        </m:r>
      </m:oMath>
      <w:r>
        <w:rPr>
          <w:rFonts w:hint="eastAsia" w:hAnsi="Cambria Math" w:cs="Times New Roman"/>
          <w:i w:val="0"/>
          <w:lang w:val="en-US" w:eastAsia="zh-CN"/>
        </w:rPr>
        <w:t>实验电路板，直流电源，信号发生器，数字万用表，示波器</w:t>
      </w:r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实验内容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反相比例电路：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=200mV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、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1kHz</m:t>
        </m:r>
      </m:oMath>
      <w:r>
        <m:rPr/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的正弦交流信号，使用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m:rPr/>
        <w:rPr>
          <w:rFonts w:hint="eastAsia" w:hAnsi="Cambria Math" w:cs="Times New Roman"/>
          <w:b w:val="0"/>
          <w:i w:val="0"/>
          <w:lang w:val="en-US" w:eastAsia="zh-CN"/>
        </w:rPr>
        <w:t>运算放大器设计反相比例电路，计算电路参数，使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r>
          <m:rPr/>
          <w:rPr>
            <w:rFonts w:hint="eastAsia" w:ascii="Cambria Math" w:hAnsi="Cambria Math" w:cs="Times New Roman"/>
            <w:lang w:val="en-US" w:eastAsia="zh-CN"/>
          </w:rPr>
          <m:t>5</m:t>
        </m:r>
        <m:sSub>
          <m:sSubPr>
            <m:ctrlPr>
              <m:rPr/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m:rPr/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m:rPr/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ub>
        </m:sSub>
      </m:oMath>
      <w:r>
        <m:rPr/>
        <w:rPr>
          <w:rFonts w:hint="eastAsia" w:hAnsi="Cambria Math" w:cs="Times New Roman"/>
          <w:i w:val="0"/>
          <w:lang w:val="en-US" w:eastAsia="zh-CN"/>
        </w:rPr>
        <w:t>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917315" cy="2520315"/>
            <wp:effectExtent l="0" t="0" r="6985" b="6985"/>
            <wp:docPr id="10" name="图片 10" descr="屏幕截图 2024-11-19 140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11-19 1408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反相求和电路：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=200mV</m:t>
        </m:r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1kHz</m:t>
        </m:r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的正弦交流信号，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1</m:t>
        </m:r>
        <m:r>
          <m:rPr/>
          <w:rPr>
            <w:rFonts w:hint="default" w:ascii="Cambria Math" w:hAnsi="Cambria Math" w:cs="Times New Roman"/>
            <w:lang w:val="en-US" w:eastAsia="zh-CN"/>
          </w:rPr>
          <m:t>00mV</m:t>
        </m:r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1kHz</m:t>
        </m:r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的正弦交流信号，使用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运算放大器设计反相加法电路，计算电路参数，使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r>
          <m:rPr/>
          <w:rPr>
            <w:rFonts w:hint="eastAsia" w:ascii="Cambria Math" w:hAnsi="Cambria Math" w:cs="Times New Roman"/>
            <w:lang w:val="en-US" w:eastAsia="zh-CN"/>
          </w:rPr>
          <m:t>2</m:t>
        </m:r>
        <m:r>
          <m:rPr/>
          <w:rPr>
            <w:rFonts w:hint="default" w:ascii="Cambria Math" w:hAnsi="Cambria Math" w:cs="Times New Roman"/>
            <w:lang w:val="en-US" w:eastAsia="zh-CN"/>
          </w:rPr>
          <m:t>(</m:t>
        </m:r>
        <m:sSub>
          <m:sSubP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i1</m:t>
            </m: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)。实验并记录输入输出波形。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249420" cy="2520315"/>
            <wp:effectExtent l="0" t="0" r="5080" b="6985"/>
            <wp:docPr id="11" name="图片 11" descr="屏幕截图 2024-11-19 140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11-19 1408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差分电路：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为电桥产生的差动信号，</w:t>
      </w: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运算放大器设计反相比例电路，使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"/>
            <w:lang w:val="en-US" w:eastAsia="zh-CN"/>
          </w:rPr>
          <m:t>=5</m:t>
        </m:r>
        <m:sSub>
          <m:sSubP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(u</m:t>
            </m: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2</m:t>
            </m: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)</m:t>
        </m:r>
      </m:oMath>
      <w:r>
        <w:rPr>
          <w:rFonts w:hint="eastAsia" w:hAnsi="Cambria Math" w:cs="Times New Roman"/>
          <w:i w:val="0"/>
          <w:lang w:val="en-US" w:eastAsia="zh-CN"/>
        </w:rPr>
        <w:t>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308350" cy="2063750"/>
            <wp:effectExtent l="0" t="0" r="6350" b="6350"/>
            <wp:docPr id="12" name="图片 12" descr="屏幕截图 2024-11-19 14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11-19 1408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rPr>
          <w:rFonts w:hint="eastAsia" w:ascii="Times New Roman" w:hAnsi="Times New Roman" w:eastAsia="宋体" w:cs="Times New Roman"/>
          <w:lang w:eastAsia="zh-CN"/>
        </w:rPr>
      </w:pP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积分电路：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4</m:t>
        </m:r>
        <m:r>
          <m:rPr/>
          <w:rPr>
            <w:rFonts w:hint="default" w:ascii="Cambria Math" w:hAnsi="Cambria Math" w:cs="Times New Roman"/>
            <w:lang w:val="en-US" w:eastAsia="zh-CN"/>
          </w:rPr>
          <m:t>00mV</m:t>
        </m:r>
      </m:oMath>
      <w:r>
        <w:rPr>
          <w:rFonts w:hint="eastAsia" w:hAnsi="Cambria Math" w:cs="Times New Roman"/>
          <w:i w:val="0"/>
          <w:lang w:val="en-US" w:eastAsia="zh-CN"/>
        </w:rPr>
        <w:t>方波</w:t>
      </w: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信号，使用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运算放大器设计积分电路，计算电路参数，使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1</m:t>
        </m:r>
        <m:r>
          <m:rPr/>
          <w:rPr>
            <w:rFonts w:hint="default" w:ascii="Cambria Math" w:hAnsi="Cambria Math" w:cs="Times New Roman"/>
            <w:lang w:val="en-US" w:eastAsia="zh-CN"/>
          </w:rPr>
          <m:t>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的三角波信号</w:t>
      </w:r>
      <w:r>
        <w:rPr>
          <w:rFonts w:hint="eastAsia" w:hAnsi="Cambria Math" w:cs="Times New Roman"/>
          <w:i w:val="0"/>
          <w:lang w:val="en-US" w:eastAsia="zh-CN"/>
        </w:rPr>
        <w:t>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627120" cy="2520315"/>
            <wp:effectExtent l="0" t="0" r="5080" b="6985"/>
            <wp:docPr id="13" name="图片 13" descr="屏幕截图 2024-11-19 140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11-19 1409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rPr>
          <w:rFonts w:ascii="Times New Roman" w:hAnsi="Times New Roman" w:eastAsia="宋体" w:cs="Times New Roman"/>
        </w:rPr>
      </w:pP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微分电路：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jc w:val="left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=200mV</m:t>
        </m:r>
      </m:oMath>
      <w:r>
        <w:rPr>
          <w:rFonts w:hint="eastAsia" w:hAnsi="Cambria Math" w:cs="Times New Roman"/>
          <w:i w:val="0"/>
          <w:lang w:val="en-US" w:eastAsia="zh-CN"/>
        </w:rPr>
        <w:t>三角波</w:t>
      </w: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信号，使用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运算放大器设计微分电路，计算电路参数，使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约为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800</m:t>
        </m:r>
        <m:r>
          <m:rPr/>
          <w:rPr>
            <w:rFonts w:hint="default" w:ascii="Cambria Math" w:hAnsi="Cambria Math" w:cs="Times New Roman"/>
            <w:lang w:val="en-US" w:eastAsia="zh-CN"/>
          </w:rPr>
          <m:t>mV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的方波信号</w:t>
      </w:r>
      <w:r>
        <w:rPr>
          <w:rFonts w:hint="eastAsia" w:hAnsi="Cambria Math" w:cs="Times New Roman"/>
          <w:i w:val="0"/>
          <w:lang w:val="en-US" w:eastAsia="zh-CN"/>
        </w:rPr>
        <w:t>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hAnsi="Cambria Math" w:cs="Times New Roman"/>
          <w:i w:val="0"/>
          <w:lang w:val="en-US" w:eastAsia="zh-CN"/>
        </w:rPr>
        <w:drawing>
          <wp:inline distT="0" distB="0" distL="114300" distR="114300">
            <wp:extent cx="3799840" cy="2028190"/>
            <wp:effectExtent l="0" t="0" r="10160" b="3810"/>
            <wp:docPr id="14" name="图片 14" descr="屏幕截图 2024-11-19 140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11-19 1409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综合应用：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运算放大器，将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=2V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，频率为800Hz的正弦波信号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转换为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14</m:t>
        </m:r>
        <m:r>
          <m:rPr/>
          <w:rPr>
            <w:rFonts w:hint="default" w:ascii="Cambria Math" w:hAnsi="Cambria Math" w:cs="Times New Roman"/>
            <w:lang w:val="en-US" w:eastAsia="zh-CN"/>
          </w:rPr>
          <m:t>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、</w:t>
      </w:r>
      <w:r>
        <w:rPr>
          <w:rFonts w:hint="eastAsia" w:hAnsi="Cambria Math" w:cs="Times New Roman"/>
          <w:i w:val="0"/>
          <w:lang w:val="en-US" w:eastAsia="zh-CN"/>
        </w:rPr>
        <w:t>频率为800Hz的方波信号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数据记录：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反相比例电路：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b w:val="0"/>
          <w:i w:val="0"/>
          <w:lang w:val="en-US" w:eastAsia="zh-CN"/>
        </w:rPr>
        <w:drawing>
          <wp:inline distT="0" distB="0" distL="114300" distR="114300">
            <wp:extent cx="3740785" cy="2520315"/>
            <wp:effectExtent l="0" t="0" r="5715" b="6985"/>
            <wp:docPr id="16" name="图片 16" descr="scop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ope_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反相求和电路：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150" cy="2520315"/>
            <wp:effectExtent l="0" t="0" r="6350" b="6985"/>
            <wp:docPr id="15" name="图片 15" descr="scop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ope_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差分电路：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785" cy="2520315"/>
            <wp:effectExtent l="0" t="0" r="5715" b="6985"/>
            <wp:docPr id="7" name="图片 7" descr="scop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ope_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积分电路：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ascii="Cambria Math" w:hAnsi="Cambria Math" w:cs="Times New Roman"/>
          <w:i/>
          <w:lang w:val="en-US"/>
        </w:rPr>
        <w:drawing>
          <wp:inline distT="0" distB="0" distL="114300" distR="114300">
            <wp:extent cx="3740785" cy="2520315"/>
            <wp:effectExtent l="0" t="0" r="5715" b="6985"/>
            <wp:docPr id="8" name="图片 8" descr="tcope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cope_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微分电路：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785" cy="2520315"/>
            <wp:effectExtent l="0" t="0" r="5715" b="6985"/>
            <wp:docPr id="9" name="图片 9" descr="tcope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cope_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综合应用：</w:t>
      </w:r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结果分析：</w:t>
      </w:r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实验总结</w:t>
      </w:r>
      <w:bookmarkStart w:id="0" w:name="_GoBack"/>
      <w:bookmarkEnd w:id="0"/>
    </w:p>
    <w:p>
      <w:pPr>
        <w:pBdr>
          <w:bottom w:val="single" w:color="auto" w:sz="6" w:space="1"/>
        </w:pBdr>
        <w:rPr>
          <w:rFonts w:hint="eastAsia" w:ascii="宋体" w:hAnsi="宋体" w:eastAsia="宋体"/>
        </w:rPr>
      </w:pPr>
    </w:p>
    <w:p>
      <w:pPr>
        <w:spacing w:before="156" w:beforeLines="50" w:after="156" w:afterLines="50"/>
        <w:rPr>
          <w:rFonts w:hint="eastAsia" w:ascii="Times New Roman" w:hAnsi="Times New Roman" w:eastAsia="宋体" w:cs="Times New Roman"/>
          <w:color w:val="0070C0"/>
        </w:rPr>
      </w:pPr>
    </w:p>
    <w:p>
      <w:pPr>
        <w:spacing w:before="156" w:beforeLines="50" w:after="156" w:afterLines="50"/>
        <w:rPr>
          <w:rFonts w:ascii="Times New Roman" w:hAnsi="Times New Roman" w:eastAsia="宋体" w:cs="Times New Roman"/>
          <w:color w:val="0070C0"/>
        </w:rPr>
      </w:pPr>
      <w:r>
        <w:rPr>
          <w:rFonts w:ascii="Times New Roman" w:hAnsi="Times New Roman" w:eastAsia="宋体" w:cs="Times New Roman"/>
          <w:color w:val="0070C0"/>
        </w:rPr>
        <w:t>以上格式仅为参考，同学们根据报告要求和需要自行调整。</w:t>
      </w:r>
    </w:p>
    <w:p>
      <w:pPr>
        <w:spacing w:before="156" w:beforeLines="50" w:after="156" w:afterLines="50"/>
        <w:rPr>
          <w:rFonts w:ascii="Times New Roman" w:hAnsi="Times New Roman" w:eastAsia="宋体" w:cs="Times New Roman"/>
          <w:color w:val="0070C0"/>
        </w:rPr>
      </w:pPr>
      <w:r>
        <w:rPr>
          <w:rFonts w:ascii="Times New Roman" w:hAnsi="Times New Roman" w:eastAsia="宋体" w:cs="Times New Roman"/>
          <w:color w:val="0070C0"/>
        </w:rPr>
        <w:t>电子版报告中出现的图，可以采用</w:t>
      </w:r>
      <w:r>
        <w:rPr>
          <w:rFonts w:hint="eastAsia" w:ascii="Times New Roman" w:hAnsi="Times New Roman" w:eastAsia="宋体" w:cs="Times New Roman"/>
          <w:color w:val="0070C0"/>
        </w:rPr>
        <w:t>截图、</w:t>
      </w:r>
      <w:r>
        <w:rPr>
          <w:rFonts w:ascii="Times New Roman" w:hAnsi="Times New Roman" w:eastAsia="宋体" w:cs="Times New Roman"/>
          <w:color w:val="0070C0"/>
        </w:rPr>
        <w:t>Multisim仿真图、Visio绘图等方式。</w:t>
      </w:r>
    </w:p>
    <w:p>
      <w:pPr>
        <w:spacing w:before="156" w:beforeLines="50" w:after="156" w:afterLines="50"/>
        <w:rPr>
          <w:rFonts w:ascii="Times New Roman" w:hAnsi="Times New Roman" w:eastAsia="宋体" w:cs="Times New Roman"/>
          <w:color w:val="0070C0"/>
        </w:rPr>
      </w:pPr>
      <w:r>
        <w:rPr>
          <w:rFonts w:ascii="Times New Roman" w:hAnsi="Times New Roman" w:eastAsia="宋体" w:cs="Times New Roman"/>
          <w:color w:val="0070C0"/>
        </w:rPr>
        <w:t>如需输入公式，可采用</w:t>
      </w:r>
      <w:r>
        <w:rPr>
          <w:rFonts w:hint="eastAsia" w:ascii="Times New Roman" w:hAnsi="Times New Roman" w:eastAsia="宋体" w:cs="Times New Roman"/>
          <w:color w:val="0070C0"/>
        </w:rPr>
        <w:t>word</w:t>
      </w:r>
      <w:r>
        <w:rPr>
          <w:rFonts w:ascii="Times New Roman" w:hAnsi="Times New Roman" w:eastAsia="宋体" w:cs="Times New Roman"/>
          <w:color w:val="0070C0"/>
        </w:rPr>
        <w:t>自带公式编辑器，或MathType软件。</w:t>
      </w:r>
    </w:p>
    <w:p>
      <w:pPr>
        <w:rPr>
          <w:rFonts w:hint="eastAsia" w:ascii="宋体" w:hAnsi="宋体" w:eastAsia="宋体"/>
          <w:b/>
        </w:rPr>
      </w:pPr>
    </w:p>
    <w:p>
      <w:pPr>
        <w:rPr>
          <w:rFonts w:hint="eastAsia" w:ascii="宋体" w:hAnsi="宋体" w:eastAsia="宋体"/>
          <w:b/>
        </w:rPr>
      </w:pPr>
    </w:p>
    <w:p>
      <w:pPr>
        <w:rPr>
          <w:rFonts w:hint="eastAsia" w:ascii="宋体" w:hAnsi="宋体" w:eastAsia="宋体"/>
          <w:b/>
        </w:rPr>
      </w:pPr>
    </w:p>
    <w:p>
      <w:pPr>
        <w:spacing w:after="156" w:afterLines="50"/>
        <w:rPr>
          <w:rFonts w:hint="eastAsia"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hint="eastAsia"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hint="eastAsia"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hint="eastAsia"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hint="eastAsia"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hint="eastAsia"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hint="eastAsia" w:ascii="宋体" w:hAnsi="宋体" w:eastAsia="宋体"/>
          <w:b/>
          <w:sz w:val="22"/>
          <w:szCs w:val="24"/>
        </w:rPr>
      </w:pPr>
    </w:p>
    <w:p>
      <w:pPr>
        <w:spacing w:after="156" w:afterLines="50"/>
        <w:rPr>
          <w:rFonts w:hint="eastAsia" w:ascii="宋体" w:hAnsi="宋体" w:eastAsia="宋体"/>
          <w:b/>
          <w:sz w:val="22"/>
          <w:szCs w:val="24"/>
        </w:rPr>
      </w:pPr>
      <w:r>
        <w:rPr>
          <w:rFonts w:hint="eastAsia" w:ascii="宋体" w:hAnsi="宋体" w:eastAsia="宋体"/>
          <w:b/>
          <w:sz w:val="22"/>
          <w:szCs w:val="24"/>
        </w:rPr>
        <w:t>实验报告要求：</w:t>
      </w:r>
    </w:p>
    <w:p>
      <w:pPr>
        <w:pStyle w:val="12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实验报告可采用电子版或者手写版。</w:t>
      </w:r>
    </w:p>
    <w:p>
      <w:pPr>
        <w:pStyle w:val="12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电子版实验报告，字体应尽量统一，中文字体的使用尽量不超过2种，</w:t>
      </w:r>
      <w:r>
        <w:rPr>
          <w:rFonts w:hint="eastAsia" w:ascii="Times New Roman" w:hAnsi="Times New Roman" w:eastAsia="宋体" w:cs="Times New Roman"/>
        </w:rPr>
        <w:t>中文字体推荐</w:t>
      </w:r>
      <w:r>
        <w:rPr>
          <w:rFonts w:ascii="Times New Roman" w:hAnsi="Times New Roman" w:eastAsia="宋体" w:cs="Times New Roman"/>
        </w:rPr>
        <w:t>宋体；英文字体推荐Times New Roman。</w:t>
      </w:r>
    </w:p>
    <w:p>
      <w:pPr>
        <w:pStyle w:val="12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实验报告中的图和表应绘制清晰、工整，大小适中</w:t>
      </w:r>
      <w:r>
        <w:rPr>
          <w:rFonts w:hint="eastAsia" w:ascii="Times New Roman" w:hAnsi="Times New Roman" w:eastAsia="宋体" w:cs="Times New Roman"/>
        </w:rPr>
        <w:t>，居中</w:t>
      </w:r>
      <w:r>
        <w:rPr>
          <w:rFonts w:ascii="Times New Roman" w:hAnsi="Times New Roman" w:eastAsia="宋体" w:cs="Times New Roman"/>
        </w:rPr>
        <w:t>，具备良好的可读性。图和表应标明序号和标题</w:t>
      </w:r>
      <w:r>
        <w:rPr>
          <w:rFonts w:hint="eastAsia" w:ascii="Times New Roman" w:hAnsi="Times New Roman" w:eastAsia="宋体" w:cs="Times New Roman"/>
        </w:rPr>
        <w:t>，序号记为图1、图2、图3</w:t>
      </w:r>
      <w:r>
        <w:rPr>
          <w:rFonts w:ascii="Times New Roman" w:hAnsi="Times New Roman" w:eastAsia="宋体" w:cs="Times New Roman"/>
        </w:rPr>
        <w:t>…</w:t>
      </w:r>
      <w:r>
        <w:rPr>
          <w:rFonts w:hint="eastAsia" w:ascii="Times New Roman" w:hAnsi="Times New Roman" w:eastAsia="宋体" w:cs="Times New Roman"/>
        </w:rPr>
        <w:t>即可，不需要按照章节记为图1.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、图</w:t>
      </w:r>
      <w:r>
        <w:rPr>
          <w:rFonts w:ascii="Times New Roman" w:hAnsi="Times New Roman" w:eastAsia="宋体" w:cs="Times New Roman"/>
        </w:rPr>
        <w:t>2.1</w:t>
      </w:r>
      <w:r>
        <w:rPr>
          <w:rFonts w:hint="eastAsia" w:ascii="Times New Roman" w:hAnsi="Times New Roman" w:eastAsia="宋体" w:cs="Times New Roman"/>
        </w:rPr>
        <w:t>。</w:t>
      </w:r>
    </w:p>
    <w:p>
      <w:pPr>
        <w:spacing w:line="288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例如：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  </w:t>
      </w:r>
      <w:r>
        <w:rPr>
          <w:rFonts w:ascii="Times New Roman" w:hAnsi="Times New Roman" w:eastAsia="宋体" w:cs="Times New Roman"/>
        </w:rPr>
        <w:drawing>
          <wp:inline distT="0" distB="0" distL="0" distR="0">
            <wp:extent cx="1232535" cy="7194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272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 xml:space="preserve">                           </w:t>
      </w:r>
      <w:r>
        <w:rPr>
          <w:rFonts w:ascii="Times New Roman" w:hAnsi="Times New Roman" w:eastAsia="宋体" w:cs="Times New Roman"/>
        </w:rPr>
        <w:drawing>
          <wp:inline distT="0" distB="0" distL="0" distR="0">
            <wp:extent cx="1203325" cy="7194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375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 xml:space="preserve">           </w:t>
      </w:r>
    </w:p>
    <w:p>
      <w:pPr>
        <w:pStyle w:val="12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与门</w:t>
      </w:r>
      <w:r>
        <w:rPr>
          <w:rFonts w:ascii="Times New Roman" w:hAnsi="Times New Roman" w:eastAsia="宋体" w:cs="Times New Roman"/>
        </w:rPr>
        <w:t xml:space="preserve">                                       </w:t>
      </w:r>
      <w:r>
        <w:rPr>
          <w:rFonts w:hint="eastAsia" w:ascii="Times New Roman" w:hAnsi="Times New Roman" w:eastAsia="宋体" w:cs="Times New Roman"/>
        </w:rPr>
        <w:t>(b</w:t>
      </w:r>
      <w:r>
        <w:rPr>
          <w:rFonts w:ascii="Times New Roman" w:hAnsi="Times New Roman" w:eastAsia="宋体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或门</w:t>
      </w:r>
    </w:p>
    <w:p>
      <w:pPr>
        <w:pStyle w:val="12"/>
        <w:ind w:left="36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                图1  </w:t>
      </w:r>
      <w:r>
        <w:rPr>
          <w:rFonts w:hint="eastAsia" w:ascii="Times New Roman" w:hAnsi="Times New Roman" w:eastAsia="宋体" w:cs="Times New Roman"/>
        </w:rPr>
        <w:t>逻辑门电路符号</w:t>
      </w: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spacing w:after="156" w:afterLines="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 xml:space="preserve">表1 </w:t>
      </w:r>
      <w:r>
        <w:rPr>
          <w:rFonts w:hint="eastAsia" w:ascii="Times New Roman" w:hAnsi="Times New Roman" w:eastAsia="宋体" w:cs="Times New Roman"/>
        </w:rPr>
        <w:t>X</w:t>
      </w:r>
      <w:r>
        <w:rPr>
          <w:rFonts w:ascii="Times New Roman" w:hAnsi="Times New Roman" w:eastAsia="宋体" w:cs="Times New Roman"/>
        </w:rPr>
        <w:t>X</w:t>
      </w:r>
      <w:r>
        <w:rPr>
          <w:rFonts w:hint="eastAsia" w:ascii="Times New Roman" w:hAnsi="Times New Roman" w:eastAsia="宋体" w:cs="Times New Roman"/>
        </w:rPr>
        <w:t>实验数据记录表</w:t>
      </w:r>
    </w:p>
    <w:tbl>
      <w:tblPr>
        <w:tblStyle w:val="7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2090"/>
        <w:gridCol w:w="2090"/>
        <w:gridCol w:w="2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09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</w:p>
        </w:tc>
      </w:tr>
    </w:tbl>
    <w:p>
      <w:pPr>
        <w:jc w:val="center"/>
        <w:rPr>
          <w:rFonts w:hint="eastAsia" w:ascii="宋体" w:hAnsi="宋体" w:eastAsia="宋体"/>
        </w:rPr>
      </w:pPr>
    </w:p>
    <w:p>
      <w:pPr>
        <w:pStyle w:val="12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绘制的实验图中的坐标系，应标明对应的物理量，物理量如果有单位需标明相应的单位。</w:t>
      </w:r>
    </w:p>
    <w:p>
      <w:pPr>
        <w:spacing w:line="288" w:lineRule="auto"/>
        <w:rPr>
          <w:rFonts w:hint="eastAsia" w:ascii="宋体" w:hAnsi="宋体" w:eastAsia="宋体"/>
        </w:rPr>
      </w:pPr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BC80D"/>
    <w:multiLevelType w:val="multilevel"/>
    <w:tmpl w:val="A17BC80D"/>
    <w:lvl w:ilvl="0" w:tentative="0">
      <w:start w:val="1"/>
      <w:numFmt w:val="bullet"/>
      <w:lvlText w:val=""/>
      <w:lvlJc w:val="left"/>
      <w:pPr>
        <w:ind w:left="297" w:leftChars="0" w:hanging="297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C57B26C"/>
    <w:multiLevelType w:val="multilevel"/>
    <w:tmpl w:val="EC57B26C"/>
    <w:lvl w:ilvl="0" w:tentative="0">
      <w:start w:val="1"/>
      <w:numFmt w:val="bullet"/>
      <w:lvlText w:val=""/>
      <w:lvlJc w:val="left"/>
      <w:pPr>
        <w:ind w:left="317" w:leftChars="0" w:hanging="317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1E35580"/>
    <w:multiLevelType w:val="multilevel"/>
    <w:tmpl w:val="11E3558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">
    <w:nsid w:val="51D2202D"/>
    <w:multiLevelType w:val="multilevel"/>
    <w:tmpl w:val="51D2202D"/>
    <w:lvl w:ilvl="0" w:tentative="0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0" w:hanging="420"/>
      </w:pPr>
    </w:lvl>
    <w:lvl w:ilvl="2" w:tentative="0">
      <w:start w:val="1"/>
      <w:numFmt w:val="lowerRoman"/>
      <w:lvlText w:val="%3."/>
      <w:lvlJc w:val="right"/>
      <w:pPr>
        <w:ind w:left="2400" w:hanging="420"/>
      </w:pPr>
    </w:lvl>
    <w:lvl w:ilvl="3" w:tentative="0">
      <w:start w:val="1"/>
      <w:numFmt w:val="decimal"/>
      <w:lvlText w:val="%4."/>
      <w:lvlJc w:val="left"/>
      <w:pPr>
        <w:ind w:left="2820" w:hanging="420"/>
      </w:pPr>
    </w:lvl>
    <w:lvl w:ilvl="4" w:tentative="0">
      <w:start w:val="1"/>
      <w:numFmt w:val="lowerLetter"/>
      <w:lvlText w:val="%5)"/>
      <w:lvlJc w:val="left"/>
      <w:pPr>
        <w:ind w:left="3240" w:hanging="420"/>
      </w:pPr>
    </w:lvl>
    <w:lvl w:ilvl="5" w:tentative="0">
      <w:start w:val="1"/>
      <w:numFmt w:val="lowerRoman"/>
      <w:lvlText w:val="%6."/>
      <w:lvlJc w:val="right"/>
      <w:pPr>
        <w:ind w:left="3660" w:hanging="420"/>
      </w:pPr>
    </w:lvl>
    <w:lvl w:ilvl="6" w:tentative="0">
      <w:start w:val="1"/>
      <w:numFmt w:val="decimal"/>
      <w:lvlText w:val="%7."/>
      <w:lvlJc w:val="left"/>
      <w:pPr>
        <w:ind w:left="4080" w:hanging="420"/>
      </w:pPr>
    </w:lvl>
    <w:lvl w:ilvl="7" w:tentative="0">
      <w:start w:val="1"/>
      <w:numFmt w:val="lowerLetter"/>
      <w:lvlText w:val="%8)"/>
      <w:lvlJc w:val="left"/>
      <w:pPr>
        <w:ind w:left="4500" w:hanging="420"/>
      </w:pPr>
    </w:lvl>
    <w:lvl w:ilvl="8" w:tentative="0">
      <w:start w:val="1"/>
      <w:numFmt w:val="lowerRoman"/>
      <w:lvlText w:val="%9."/>
      <w:lvlJc w:val="right"/>
      <w:pPr>
        <w:ind w:left="4920" w:hanging="420"/>
      </w:pPr>
    </w:lvl>
  </w:abstractNum>
  <w:abstractNum w:abstractNumId="4">
    <w:nsid w:val="5C7B276C"/>
    <w:multiLevelType w:val="multilevel"/>
    <w:tmpl w:val="5C7B276C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(%2）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074CF6"/>
    <w:rsid w:val="000164F5"/>
    <w:rsid w:val="00022655"/>
    <w:rsid w:val="00074CF6"/>
    <w:rsid w:val="00095CDE"/>
    <w:rsid w:val="000C248A"/>
    <w:rsid w:val="0012596D"/>
    <w:rsid w:val="002039C6"/>
    <w:rsid w:val="0023198F"/>
    <w:rsid w:val="00251CC1"/>
    <w:rsid w:val="00254946"/>
    <w:rsid w:val="00257DF4"/>
    <w:rsid w:val="00277AFC"/>
    <w:rsid w:val="00282833"/>
    <w:rsid w:val="002915DB"/>
    <w:rsid w:val="00292D2F"/>
    <w:rsid w:val="002F1A6A"/>
    <w:rsid w:val="0034519F"/>
    <w:rsid w:val="003B7BB9"/>
    <w:rsid w:val="003B7FE1"/>
    <w:rsid w:val="003D7591"/>
    <w:rsid w:val="003E3595"/>
    <w:rsid w:val="00401A15"/>
    <w:rsid w:val="0041054E"/>
    <w:rsid w:val="004178BE"/>
    <w:rsid w:val="00426838"/>
    <w:rsid w:val="0043170B"/>
    <w:rsid w:val="004843B1"/>
    <w:rsid w:val="0048512F"/>
    <w:rsid w:val="00490A8B"/>
    <w:rsid w:val="0049216E"/>
    <w:rsid w:val="0049649D"/>
    <w:rsid w:val="00497FE5"/>
    <w:rsid w:val="004C3E0A"/>
    <w:rsid w:val="004C40F4"/>
    <w:rsid w:val="004F0E7F"/>
    <w:rsid w:val="004F52DD"/>
    <w:rsid w:val="004F61F2"/>
    <w:rsid w:val="00502A06"/>
    <w:rsid w:val="0052225E"/>
    <w:rsid w:val="005366E7"/>
    <w:rsid w:val="00555E5E"/>
    <w:rsid w:val="005747AB"/>
    <w:rsid w:val="005A321E"/>
    <w:rsid w:val="005C3E46"/>
    <w:rsid w:val="005D7EF7"/>
    <w:rsid w:val="005F6F98"/>
    <w:rsid w:val="00607473"/>
    <w:rsid w:val="00651A40"/>
    <w:rsid w:val="00665D54"/>
    <w:rsid w:val="0066612E"/>
    <w:rsid w:val="00675D54"/>
    <w:rsid w:val="006C01DA"/>
    <w:rsid w:val="00706506"/>
    <w:rsid w:val="0072096F"/>
    <w:rsid w:val="007457E7"/>
    <w:rsid w:val="00774553"/>
    <w:rsid w:val="007A0EFF"/>
    <w:rsid w:val="007F01E0"/>
    <w:rsid w:val="007F3961"/>
    <w:rsid w:val="008040B6"/>
    <w:rsid w:val="00806EA1"/>
    <w:rsid w:val="0081201F"/>
    <w:rsid w:val="00814ABA"/>
    <w:rsid w:val="00823B8D"/>
    <w:rsid w:val="00860EA5"/>
    <w:rsid w:val="008B290F"/>
    <w:rsid w:val="008D0B4B"/>
    <w:rsid w:val="009422BC"/>
    <w:rsid w:val="00983624"/>
    <w:rsid w:val="009A6B4E"/>
    <w:rsid w:val="009D7BF9"/>
    <w:rsid w:val="009E334F"/>
    <w:rsid w:val="00A113F6"/>
    <w:rsid w:val="00A17270"/>
    <w:rsid w:val="00A628E4"/>
    <w:rsid w:val="00A84DBD"/>
    <w:rsid w:val="00A96699"/>
    <w:rsid w:val="00AB169F"/>
    <w:rsid w:val="00AC5F81"/>
    <w:rsid w:val="00AC7D46"/>
    <w:rsid w:val="00AE0F04"/>
    <w:rsid w:val="00AF5203"/>
    <w:rsid w:val="00AF6708"/>
    <w:rsid w:val="00B1432A"/>
    <w:rsid w:val="00B64F5B"/>
    <w:rsid w:val="00B8140B"/>
    <w:rsid w:val="00BC6818"/>
    <w:rsid w:val="00C1568F"/>
    <w:rsid w:val="00C31466"/>
    <w:rsid w:val="00C920D2"/>
    <w:rsid w:val="00CA10A0"/>
    <w:rsid w:val="00CA4419"/>
    <w:rsid w:val="00CD249D"/>
    <w:rsid w:val="00D041E9"/>
    <w:rsid w:val="00D37767"/>
    <w:rsid w:val="00D643D9"/>
    <w:rsid w:val="00D85A3D"/>
    <w:rsid w:val="00D933A6"/>
    <w:rsid w:val="00D96D10"/>
    <w:rsid w:val="00DA0F4A"/>
    <w:rsid w:val="00DD2527"/>
    <w:rsid w:val="00E20B7C"/>
    <w:rsid w:val="00E22F34"/>
    <w:rsid w:val="00E67DD2"/>
    <w:rsid w:val="00E90976"/>
    <w:rsid w:val="00E95CC5"/>
    <w:rsid w:val="00F066FD"/>
    <w:rsid w:val="00F139E6"/>
    <w:rsid w:val="00F4319C"/>
    <w:rsid w:val="00FA36D7"/>
    <w:rsid w:val="00FB28CB"/>
    <w:rsid w:val="00FE4762"/>
    <w:rsid w:val="0DA2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napToGrid w:val="0"/>
      <w:spacing w:line="360" w:lineRule="auto"/>
      <w:ind w:firstLine="50" w:firstLineChars="50"/>
      <w:outlineLvl w:val="1"/>
    </w:pPr>
    <w:rPr>
      <w:rFonts w:ascii="Times" w:hAnsi="Times" w:eastAsia="宋体" w:cstheme="majorBidi"/>
      <w:b/>
      <w:bCs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2 字符"/>
    <w:basedOn w:val="8"/>
    <w:link w:val="2"/>
    <w:uiPriority w:val="9"/>
    <w:rPr>
      <w:rFonts w:ascii="Times" w:hAnsi="Times" w:eastAsia="宋体" w:cstheme="majorBidi"/>
      <w:b/>
      <w:bCs/>
      <w:szCs w:val="32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9B2E3-04C7-4FFD-820F-E9FF6C415A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525</Characters>
  <Lines>4</Lines>
  <Paragraphs>1</Paragraphs>
  <TotalTime>43</TotalTime>
  <ScaleCrop>false</ScaleCrop>
  <LinksUpToDate>false</LinksUpToDate>
  <CharactersWithSpaces>616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2022-05-07T15:51:00Z</dcterms:created>
  <dc:creator>Sylvie</dc:creator>
  <cp:lastModifiedBy>陈卓妍</cp:lastModifiedBy>
  <dcterms:modified xsi:type="dcterms:W3CDTF">2024-11-19T06:17:02Z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1253F8884BF347BDA855126F8BA2C898_12</vt:lpwstr>
  </property>
</Properties>
</file>