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32"/>
          <w:szCs w:val="28"/>
        </w:rPr>
      </w:pPr>
      <w:r>
        <w:rPr>
          <w:rFonts w:ascii="Times New Roman" w:hAnsi="Times New Roman" w:eastAsia="黑体" w:cs="Times New Roman"/>
          <w:sz w:val="32"/>
          <w:szCs w:val="28"/>
        </w:rPr>
        <w:t>上海交通大学</w:t>
      </w: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《电子电路系统实验》</w:t>
      </w:r>
      <w:r>
        <w:rPr>
          <w:rFonts w:hint="eastAsia" w:ascii="Times New Roman" w:hAnsi="Times New Roman" w:eastAsia="黑体" w:cs="Times New Roman"/>
          <w:sz w:val="28"/>
          <w:szCs w:val="28"/>
        </w:rPr>
        <w:t>实验</w:t>
      </w:r>
      <w:r>
        <w:rPr>
          <w:rFonts w:ascii="Times New Roman" w:hAnsi="Times New Roman" w:eastAsia="黑体" w:cs="Times New Roman"/>
          <w:sz w:val="28"/>
          <w:szCs w:val="28"/>
        </w:rPr>
        <w:t>报告</w:t>
      </w:r>
    </w:p>
    <w:p>
      <w:pPr>
        <w:spacing w:line="360" w:lineRule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实验名称：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集成运算放大器</w:t>
      </w:r>
    </w:p>
    <w:p>
      <w:pPr>
        <w:spacing w:line="360" w:lineRule="auto"/>
        <w:jc w:val="left"/>
        <w:rPr>
          <w:rFonts w:hint="eastAsia"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班级 AI2618-</w:t>
      </w:r>
      <w:r>
        <w:rPr>
          <w:rFonts w:hint="eastAsia" w:ascii="Times New Roman" w:hAnsi="Times New Roman" w:eastAsia="黑体" w:cs="Times New Roman"/>
          <w:sz w:val="24"/>
          <w:szCs w:val="24"/>
        </w:rPr>
        <w:t>03</w:t>
      </w:r>
    </w:p>
    <w:p>
      <w:pPr>
        <w:pBdr>
          <w:bottom w:val="single" w:color="auto" w:sz="6" w:space="1"/>
        </w:pBdr>
        <w:spacing w:line="360" w:lineRule="auto"/>
        <w:rPr>
          <w:rFonts w:hint="default" w:ascii="Times New Roman" w:hAnsi="Times New Roman" w:eastAsia="黑体" w:cs="Times New Roman"/>
          <w:sz w:val="22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姓名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陈卓妍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学号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523030910037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    实验日期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11.13</w:t>
      </w:r>
    </w:p>
    <w:p>
      <w:pPr>
        <w:rPr>
          <w:rFonts w:hint="eastAsia" w:ascii="宋体" w:hAnsi="宋体" w:eastAsia="宋体"/>
        </w:rPr>
      </w:pP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</w:t>
      </w:r>
      <w:r>
        <w:rPr>
          <w:rFonts w:hint="eastAsia" w:ascii="Times New Roman" w:hAnsi="Times New Roman" w:eastAsia="宋体" w:cs="Times New Roman"/>
        </w:rPr>
        <w:t>目的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了解集成运算放大器的结构集工作原理。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构成典型应用电路（反相比例、同相比例、求和、差分、积分、微分）。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m:rPr/>
        <w:rPr>
          <w:rFonts w:hint="eastAsia" w:hAnsi="Cambria Math" w:cs="Times New Roman"/>
          <w:i w:val="0"/>
          <w:lang w:val="en-US" w:eastAsia="zh-CN"/>
        </w:rPr>
        <w:t>基于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JDEE−ADII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实验电路板完成实验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实验原理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m:rPr/>
        <w:rPr>
          <w:rFonts w:hint="eastAsia" w:hAnsi="Cambria Math" w:cs="Times New Roman"/>
          <w:b w:val="0"/>
          <w:i w:val="0"/>
          <w:lang w:val="en-US" w:eastAsia="zh-CN"/>
        </w:rPr>
        <w:t>：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278120" cy="2255520"/>
            <wp:effectExtent l="0" t="0" r="5080" b="5080"/>
            <wp:docPr id="3" name="图片 3" descr="屏幕截图 2024-11-19 13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1-19 1339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运放的电压传输性质：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&gt;&gt;0</m:t>
        </m:r>
      </m:oMath>
    </w:p>
    <w:p>
      <w:pPr>
        <w:pStyle w:val="12"/>
        <w:numPr>
          <w:ilvl w:val="2"/>
          <w:numId w:val="2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线性工作区：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(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)</m:t>
        </m:r>
      </m:oMath>
    </w:p>
    <w:p>
      <w:pPr>
        <w:pStyle w:val="12"/>
        <w:numPr>
          <w:ilvl w:val="2"/>
          <w:numId w:val="2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正饱和区：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CC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</m:oMath>
    </w:p>
    <w:p>
      <w:pPr>
        <w:pStyle w:val="12"/>
        <w:numPr>
          <w:ilvl w:val="2"/>
          <w:numId w:val="2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m:rPr/>
        <w:rPr>
          <w:rFonts w:hint="eastAsia" w:hAnsi="Cambria Math" w:cs="Times New Roman"/>
          <w:i w:val="0"/>
          <w:lang w:val="en-US" w:eastAsia="zh-CN"/>
        </w:rPr>
        <w:t>负饱和区：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CC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</m:oMath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运放的特性：</w:t>
      </w:r>
    </w:p>
    <w:p>
      <w:pPr>
        <w:pStyle w:val="12"/>
        <w:numPr>
          <w:ilvl w:val="2"/>
          <w:numId w:val="1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虚断：输入电阻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w:rPr>
            <w:rFonts w:hint="default" w:ascii="Cambria Math" w:hAnsi="Cambria Math" w:cs="Cambria Math"/>
            <w:lang w:val="en-US"/>
          </w:rPr>
          <m:t>→∞</m:t>
        </m:r>
        <m:r>
          <m:rPr/>
          <w:rPr>
            <w:rFonts w:hint="default" w:ascii="Cambria Math" w:hAnsi="Cambria Math" w:cs="Times New Roman"/>
            <w:lang w:val="en-US" w:eastAsia="zh-CN"/>
          </w:rPr>
          <m:t xml:space="preserve">, </m:t>
        </m:r>
        <m:sSub>
          <m:sSubP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≈</m:t>
        </m:r>
        <m:r>
          <m:rPr/>
          <w:rPr>
            <w:rFonts w:hint="default" w:ascii="Cambria Math" w:hAnsi="Cambria Math" w:cs="Times New Roman"/>
            <w:lang w:val="en-US" w:eastAsia="zh-CN"/>
          </w:rPr>
          <m:t>0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,运放两端近似开路</w:t>
      </w:r>
    </w:p>
    <w:p>
      <w:pPr>
        <w:pStyle w:val="12"/>
        <w:numPr>
          <w:ilvl w:val="2"/>
          <w:numId w:val="1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m:rPr/>
        <w:rPr>
          <w:rFonts w:hint="eastAsia" w:hAnsi="Cambria Math" w:cs="Times New Roman"/>
          <w:i w:val="0"/>
          <w:lang w:val="en-US" w:eastAsia="zh-CN"/>
        </w:rPr>
        <w:t>虚短：电压增益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w:rPr>
            <w:rFonts w:hint="default" w:ascii="Cambria Math" w:hAnsi="Cambria Math" w:cs="Cambria Math"/>
            <w:lang w:val="en-US"/>
          </w:rPr>
          <m:t>→∞</m:t>
        </m:r>
        <m:r>
          <m:rPr/>
          <w:rPr>
            <w:rFonts w:hint="default" w:ascii="Cambria Math" w:hAnsi="Cambria Math" w:cs="Cambria Math"/>
            <w:lang w:val="en-US" w:eastAsia="zh-CN"/>
          </w:rPr>
          <m:t>,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P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−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u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N</m:t>
            </m:r>
            <m:ctrlPr>
              <m:rPr/>
              <w:rPr>
                <w:rFonts w:hint="default" w:ascii="Cambria Math" w:hAnsi="Cambria Math" w:cs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≈0</m:t>
        </m:r>
      </m:oMath>
      <w:r>
        <m:rPr/>
        <w:rPr>
          <w:rFonts w:hint="eastAsia" w:hAnsi="Cambria Math" w:cs="Cambria Math"/>
          <w:i w:val="0"/>
          <w:lang w:val="en-US" w:eastAsia="zh-CN"/>
        </w:rPr>
        <w:t>,运放两端近似短路</w:t>
      </w:r>
    </w:p>
    <w:p>
      <w:pPr>
        <w:pStyle w:val="12"/>
        <w:numPr>
          <w:ilvl w:val="2"/>
          <w:numId w:val="1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为集成运放开环电压增益，通常可达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4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</m:sSup>
      </m:oMath>
      <w:r>
        <w:rPr>
          <w:rFonts w:hint="eastAsia" w:hAnsi="Cambria Math" w:cs="Times New Roman"/>
          <w:i w:val="0"/>
          <w:lang w:val="en-US" w:eastAsia="zh-CN"/>
        </w:rPr>
        <w:t>以上，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通常为</w:t>
      </w:r>
      <m:oMath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p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6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p>
        </m:sSup>
        <m:r>
          <w:rPr>
            <w:rFonts w:hint="default" w:ascii="Cambria Math" w:hAnsi="Cambria Math" w:cs="Cambria Math"/>
            <w:lang w:val="en-US"/>
          </w:rPr>
          <m:t>Ω</m:t>
        </m:r>
      </m:oMath>
      <w:r>
        <m:rPr/>
        <w:rPr>
          <w:rFonts w:hint="eastAsia" w:hAnsi="Cambria Math" w:cs="Times New Roman"/>
          <w:i w:val="0"/>
          <w:lang w:val="en-US" w:eastAsia="zh-CN"/>
          <w:oMath/>
        </w:rPr>
        <w:t>或</w:t>
      </w:r>
      <w:r>
        <m:rPr/>
        <w:rPr>
          <w:rFonts w:hint="eastAsia" w:hAnsi="Cambria Math" w:cs="Times New Roman"/>
          <w:i w:val="0"/>
          <w:lang w:val="en-US" w:eastAsia="zh-CN"/>
        </w:rPr>
        <w:t>更高</w:t>
      </w:r>
      <w:r>
        <m:rPr/>
        <w:rPr>
          <w:rFonts w:hint="eastAsia" w:hAnsi="Cambria Math" w:cs="Times New Roman"/>
          <w:i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ascii="Times New Roman" w:hAnsi="Times New Roman" w:eastAsia="宋体" w:cs="Times New Roman"/>
          <w:lang w:val="en-US" w:eastAsia="zh-CN"/>
        </w:rPr>
        <w:t>通常小于</w:t>
      </w:r>
      <m:oMath>
        <m:r>
          <m:rPr/>
          <w:rPr>
            <w:rFonts w:hint="eastAsia" w:ascii="Cambria Math" w:hAnsi="Cambria Math" w:cs="Times New Roman"/>
            <w:kern w:val="2"/>
            <w:sz w:val="21"/>
            <w:szCs w:val="22"/>
            <w:lang w:val="en-US" w:eastAsia="zh-CN" w:bidi="ar-SA"/>
          </w:rPr>
          <m:t>100</m:t>
        </m:r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Ω</m:t>
        </m:r>
      </m:oMath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实验仪器</w:t>
      </w:r>
    </w:p>
    <w:p>
      <w:pPr>
        <w:pStyle w:val="12"/>
        <w:numPr>
          <w:numId w:val="0"/>
        </w:numPr>
        <w:spacing w:before="156" w:beforeLines="50" w:after="156" w:afterLines="50"/>
        <w:ind w:leftChars="0" w:firstLine="420" w:firstLineChars="0"/>
        <w:rPr>
          <w:rFonts w:hint="default" w:ascii="Times New Roman" w:hAnsi="Times New Roman" w:eastAsia="宋体" w:cs="Times New Roman"/>
          <w:lang w:val="en-US"/>
        </w:rPr>
      </w:pP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JDEE−ADII</m:t>
        </m:r>
      </m:oMath>
      <w:r>
        <w:rPr>
          <w:rFonts w:hint="eastAsia" w:hAnsi="Cambria Math" w:cs="Times New Roman"/>
          <w:i w:val="0"/>
          <w:lang w:val="en-US" w:eastAsia="zh-CN"/>
        </w:rPr>
        <w:t>实验电路板，直流电源，信号发生器，数字万用表，示波器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实验内容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反相比例电路：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=200mV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1kHz</m:t>
        </m:r>
      </m:oMath>
      <w:r>
        <m:rPr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的正弦交流信号，使用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m:rPr/>
        <w:rPr>
          <w:rFonts w:hint="eastAsia" w:hAnsi="Cambria Math" w:cs="Times New Roman"/>
          <w:b w:val="0"/>
          <w:i w:val="0"/>
          <w:lang w:val="en-US" w:eastAsia="zh-CN"/>
        </w:rPr>
        <w:t>运算放大器设计反相比例电路，计算电路参数，使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r>
          <m:rPr/>
          <w:rPr>
            <w:rFonts w:hint="eastAsia" w:ascii="Cambria Math" w:hAnsi="Cambria Math" w:cs="Times New Roman"/>
            <w:lang w:val="en-US" w:eastAsia="zh-CN"/>
          </w:rPr>
          <m:t>5</m:t>
        </m:r>
        <m:sSub>
          <m:sSubPr>
            <m:ctrlPr>
              <m:rPr/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m:rPr/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m:rPr/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ub>
        </m:sSub>
      </m:oMath>
      <w:r>
        <m:rPr/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917315" cy="2520315"/>
            <wp:effectExtent l="0" t="0" r="6985" b="6985"/>
            <wp:docPr id="10" name="图片 10" descr="屏幕截图 2024-11-19 14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4-11-19 1408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反相求和电路：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=200mV</m:t>
        </m:r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1kHz</m:t>
        </m:r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的正弦交流信号，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1</m:t>
        </m:r>
        <m:r>
          <m:rPr/>
          <w:rPr>
            <w:rFonts w:hint="default" w:ascii="Cambria Math" w:hAnsi="Cambria Math" w:cs="Times New Roman"/>
            <w:lang w:val="en-US" w:eastAsia="zh-CN"/>
          </w:rPr>
          <m:t>00mV</m:t>
        </m:r>
      </m:oMath>
      <w:r>
        <w:rPr>
          <w:rFonts w:hint="eastAsia" w:hAnsi="Cambria Math" w:cs="Times New Roman"/>
          <w:i w:val="0"/>
          <w:lang w:val="en-US" w:eastAsia="zh-CN"/>
        </w:rPr>
        <w:t>、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1kHz</m:t>
        </m:r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的正弦交流信号，使用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运算放大器设计反相加法电路，计算电路参数，使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r>
          <m:rPr/>
          <w:rPr>
            <w:rFonts w:hint="eastAsia" w:ascii="Cambria Math" w:hAnsi="Cambria Math" w:cs="Times New Roman"/>
            <w:lang w:val="en-US" w:eastAsia="zh-CN"/>
          </w:rPr>
          <m:t>2</m:t>
        </m:r>
        <m:r>
          <m:rPr/>
          <w:rPr>
            <w:rFonts w:hint="default" w:ascii="Cambria Math" w:hAnsi="Cambria Math" w:cs="Times New Roman"/>
            <w:lang w:val="en-US" w:eastAsia="zh-CN"/>
          </w:rPr>
          <m:t>(</m:t>
        </m:r>
        <m:sSub>
          <m:sSubP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i1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)。实验并记录输入输出波形。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249420" cy="2520315"/>
            <wp:effectExtent l="0" t="0" r="5080" b="6985"/>
            <wp:docPr id="11" name="图片 11" descr="屏幕截图 2024-11-19 140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4-11-19 1408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差分电路：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为电桥产生的差动信号，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运算放大器设计反相比例电路，使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Times New Roman"/>
            <w:lang w:val="en-US" w:eastAsia="zh-CN"/>
          </w:rPr>
          <m:t>=5</m:t>
        </m:r>
        <m:sSub>
          <m:sSubP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(u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2</m:t>
            </m:r>
            <m:ctrlPr>
              <w:rPr>
                <w:rFonts w:hint="eastAsia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)</m:t>
        </m:r>
      </m:oMath>
      <w:r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308350" cy="2063750"/>
            <wp:effectExtent l="0" t="0" r="6350" b="6350"/>
            <wp:docPr id="12" name="图片 12" descr="屏幕截图 2024-11-19 14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1-19 1408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rPr>
          <w:rFonts w:hint="eastAsia" w:ascii="Times New Roman" w:hAnsi="Times New Roman" w:eastAsia="宋体" w:cs="Times New Roman"/>
          <w:lang w:eastAsia="zh-CN"/>
        </w:rPr>
      </w:pP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积分电路：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4</m:t>
        </m:r>
        <m:r>
          <m:rPr/>
          <w:rPr>
            <w:rFonts w:hint="default" w:ascii="Cambria Math" w:hAnsi="Cambria Math" w:cs="Times New Roman"/>
            <w:lang w:val="en-US" w:eastAsia="zh-CN"/>
          </w:rPr>
          <m:t>00mV</m:t>
        </m:r>
      </m:oMath>
      <w:r>
        <w:rPr>
          <w:rFonts w:hint="eastAsia" w:hAnsi="Cambria Math" w:cs="Times New Roman"/>
          <w:i w:val="0"/>
          <w:lang w:val="en-US" w:eastAsia="zh-CN"/>
        </w:rPr>
        <w:t>方波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运算放大器设计积分电路，计算电路参数，使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1</m:t>
        </m:r>
        <m:r>
          <m:rPr/>
          <w:rPr>
            <w:rFonts w:hint="default" w:ascii="Cambria Math" w:hAnsi="Cambria Math" w:cs="Times New Roman"/>
            <w:lang w:val="en-US" w:eastAsia="zh-CN"/>
          </w:rPr>
          <m:t>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的三角波信号</w:t>
      </w:r>
      <w:r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627120" cy="2520315"/>
            <wp:effectExtent l="0" t="0" r="5080" b="6985"/>
            <wp:docPr id="13" name="图片 13" descr="屏幕截图 2024-11-19 140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1-19 1409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rPr>
          <w:rFonts w:ascii="Times New Roman" w:hAnsi="Times New Roman" w:eastAsia="宋体" w:cs="Times New Roman"/>
        </w:rPr>
      </w:pP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微分电路：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jc w:val="left"/>
        <w:rPr>
          <w:rFonts w:ascii="Times New Roman" w:hAnsi="Times New Roman" w:eastAsia="宋体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=200mV</m:t>
        </m:r>
      </m:oMath>
      <w:r>
        <w:rPr>
          <w:rFonts w:hint="eastAsia" w:hAnsi="Cambria Math" w:cs="Times New Roman"/>
          <w:i w:val="0"/>
          <w:lang w:val="en-US" w:eastAsia="zh-CN"/>
        </w:rPr>
        <w:t>三角波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信号，使用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运算放大器设计微分电路，计算电路参数，使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约为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800</m:t>
        </m:r>
        <m:r>
          <m:rPr/>
          <w:rPr>
            <w:rFonts w:hint="default" w:ascii="Cambria Math" w:hAnsi="Cambria Math" w:cs="Times New Roman"/>
            <w:lang w:val="en-US" w:eastAsia="zh-CN"/>
          </w:rPr>
          <m:t>mV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的方波信号</w:t>
      </w:r>
      <w:r>
        <w:rPr>
          <w:rFonts w:hint="eastAsia" w:hAnsi="Cambria Math" w:cs="Times New Roman"/>
          <w:i w:val="0"/>
          <w:lang w:val="en-US" w:eastAsia="zh-CN"/>
        </w:rPr>
        <w:t>。实验并记录输入输出波形。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hAnsi="Cambria Math" w:cs="Times New Roman"/>
          <w:i w:val="0"/>
          <w:lang w:val="en-US" w:eastAsia="zh-CN"/>
        </w:rPr>
        <w:drawing>
          <wp:inline distT="0" distB="0" distL="114300" distR="114300">
            <wp:extent cx="3799840" cy="2028190"/>
            <wp:effectExtent l="0" t="0" r="10160" b="3810"/>
            <wp:docPr id="14" name="图片 14" descr="屏幕截图 2024-11-19 140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1-19 1409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综合应用：</w:t>
      </w:r>
    </w:p>
    <w:p>
      <w:pPr>
        <w:pStyle w:val="12"/>
        <w:numPr>
          <w:ilvl w:val="1"/>
          <w:numId w:val="3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运算放大器，将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=2V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，频率为800Hz的正弦波信号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转换为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r>
          <m:rPr/>
          <w:rPr>
            <w:rFonts w:hint="eastAsia" w:ascii="Cambria Math" w:hAnsi="Cambria Math" w:cs="Times New Roman"/>
            <w:lang w:val="en-US" w:eastAsia="zh-CN"/>
          </w:rPr>
          <m:t>14</m:t>
        </m:r>
        <m:r>
          <m:rPr/>
          <w:rPr>
            <w:rFonts w:hint="default" w:ascii="Cambria Math" w:hAnsi="Cambria Math" w:cs="Times New Roman"/>
            <w:lang w:val="en-US" w:eastAsia="zh-CN"/>
          </w:rPr>
          <m:t>V</m:t>
        </m:r>
      </m:oMath>
      <w:r>
        <m:rPr/>
        <w:rPr>
          <w:rFonts w:hint="eastAsia" w:hAnsi="Cambria Math" w:cs="Times New Roman"/>
          <w:i w:val="0"/>
          <w:lang w:val="en-US" w:eastAsia="zh-CN"/>
        </w:rPr>
        <w:t>、</w:t>
      </w:r>
      <w:r>
        <w:rPr>
          <w:rFonts w:hint="eastAsia" w:hAnsi="Cambria Math" w:cs="Times New Roman"/>
          <w:i w:val="0"/>
          <w:lang w:val="en-US" w:eastAsia="zh-CN"/>
        </w:rPr>
        <w:t>频率为800Hz的方波信号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</w:p>
    <w:p>
      <w:pPr>
        <w:pStyle w:val="12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数据记录：</w:t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反相比例电路：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b w:val="0"/>
          <w:i w:val="0"/>
          <w:lang w:val="en-US" w:eastAsia="zh-CN"/>
        </w:rPr>
        <w:drawing>
          <wp:inline distT="0" distB="0" distL="114300" distR="114300">
            <wp:extent cx="3740785" cy="2520315"/>
            <wp:effectExtent l="0" t="0" r="5715" b="6985"/>
            <wp:docPr id="16" name="图片 16" descr="scop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scope_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反相求和电路：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150" cy="2520315"/>
            <wp:effectExtent l="0" t="0" r="6350" b="6985"/>
            <wp:docPr id="15" name="图片 15" descr="scop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scope_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差分电路：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7" name="图片 7" descr="scope_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ope_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积分电路：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ascii="Cambria Math" w:hAnsi="Cambria Math" w:cs="Times New Roman"/>
          <w:i/>
          <w:lang w:val="en-US"/>
        </w:rPr>
        <w:drawing>
          <wp:inline distT="0" distB="0" distL="114300" distR="114300">
            <wp:extent cx="3740785" cy="2520315"/>
            <wp:effectExtent l="0" t="0" r="5715" b="6985"/>
            <wp:docPr id="8" name="图片 8" descr="tcope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cope_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微分电路：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9" name="图片 9" descr="tcope_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tcope_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综合应用：</w:t>
      </w:r>
    </w:p>
    <w:p>
      <w:pPr>
        <w:pStyle w:val="12"/>
        <w:numPr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17" name="图片 17" descr="acope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acope_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left="360" w:leftChars="0" w:hanging="36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结果分析</w:t>
      </w:r>
    </w:p>
    <w:p>
      <w:pPr>
        <w:pStyle w:val="12"/>
        <w:numPr>
          <w:numId w:val="0"/>
        </w:numPr>
        <w:spacing w:before="156" w:beforeLines="50" w:after="156" w:afterLines="50"/>
        <w:ind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在各个电路的实验中，我们成功地将输入的信号进行了反相放大、反相求和等等。通过调整电路参数，我们确保了输出信号的幅度和相位与理论值相匹配。实验数据显示，电路的增益与预期一致，验证了运算放大器在运算、积分、微分应用中的有效性。</w:t>
      </w:r>
    </w:p>
    <w:p>
      <w:pPr>
        <w:pStyle w:val="12"/>
        <w:numPr>
          <w:ilvl w:val="0"/>
          <w:numId w:val="1"/>
        </w:numPr>
        <w:spacing w:before="156" w:beforeLines="50" w:after="156" w:afterLines="50"/>
        <w:ind w:left="360" w:leftChars="0" w:hanging="36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实验总结</w:t>
      </w:r>
    </w:p>
    <w:p>
      <w:pPr>
        <w:pBdr>
          <w:bottom w:val="single" w:color="auto" w:sz="6" w:space="1"/>
        </w:pBdr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通过本次实验，我深入了解了集成运算放大器的结构和工作原理，并掌握了其在不同典型应用电路中的设计与应用。实验过程中，我们通过实际操作和观察，加深了对运放特性如虚断和虚短的理解，以及其在信号放大、滤波等方面的应用。</w:t>
      </w:r>
    </w:p>
    <w:p>
      <w:pPr>
        <w:pBdr>
          <w:bottom w:val="single" w:color="auto" w:sz="6" w:space="1"/>
        </w:pBdr>
        <w:rPr>
          <w:rFonts w:hint="eastAsia" w:ascii="宋体" w:hAnsi="宋体" w:eastAsia="宋体"/>
        </w:rPr>
      </w:pPr>
    </w:p>
    <w:p>
      <w:pPr>
        <w:spacing w:before="156" w:beforeLines="50" w:after="156" w:afterLines="50"/>
        <w:rPr>
          <w:rFonts w:hint="eastAsia" w:ascii="Times New Roman" w:hAnsi="Times New Roman" w:eastAsia="宋体" w:cs="Times New Roman"/>
          <w:color w:val="0070C0"/>
        </w:rPr>
      </w:pPr>
    </w:p>
    <w:p>
      <w:pPr>
        <w:spacing w:line="288" w:lineRule="auto"/>
        <w:rPr>
          <w:rFonts w:hint="eastAsia" w:ascii="宋体" w:hAnsi="宋体" w:eastAsia="宋体"/>
        </w:rPr>
      </w:pPr>
      <w:bookmarkStart w:id="0" w:name="_GoBack"/>
      <w:bookmarkEnd w:id="0"/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BC80D"/>
    <w:multiLevelType w:val="multilevel"/>
    <w:tmpl w:val="A17BC80D"/>
    <w:lvl w:ilvl="0" w:tentative="0">
      <w:start w:val="1"/>
      <w:numFmt w:val="bullet"/>
      <w:lvlText w:val=""/>
      <w:lvlJc w:val="left"/>
      <w:pPr>
        <w:ind w:left="297" w:leftChars="0" w:hanging="29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EC57B26C"/>
    <w:multiLevelType w:val="multilevel"/>
    <w:tmpl w:val="EC57B26C"/>
    <w:lvl w:ilvl="0" w:tentative="0">
      <w:start w:val="1"/>
      <w:numFmt w:val="bullet"/>
      <w:lvlText w:val=""/>
      <w:lvlJc w:val="left"/>
      <w:pPr>
        <w:ind w:left="317" w:leftChars="0" w:hanging="31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1E35580"/>
    <w:multiLevelType w:val="multilevel"/>
    <w:tmpl w:val="11E355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074CF6"/>
    <w:rsid w:val="000164F5"/>
    <w:rsid w:val="00022655"/>
    <w:rsid w:val="00074CF6"/>
    <w:rsid w:val="00095CDE"/>
    <w:rsid w:val="000C248A"/>
    <w:rsid w:val="0012596D"/>
    <w:rsid w:val="002039C6"/>
    <w:rsid w:val="0023198F"/>
    <w:rsid w:val="00251CC1"/>
    <w:rsid w:val="00254946"/>
    <w:rsid w:val="00257DF4"/>
    <w:rsid w:val="00277AFC"/>
    <w:rsid w:val="00282833"/>
    <w:rsid w:val="002915DB"/>
    <w:rsid w:val="00292D2F"/>
    <w:rsid w:val="002F1A6A"/>
    <w:rsid w:val="0034519F"/>
    <w:rsid w:val="003B7BB9"/>
    <w:rsid w:val="003B7FE1"/>
    <w:rsid w:val="003D7591"/>
    <w:rsid w:val="003E3595"/>
    <w:rsid w:val="00401A15"/>
    <w:rsid w:val="0041054E"/>
    <w:rsid w:val="004178BE"/>
    <w:rsid w:val="00426838"/>
    <w:rsid w:val="0043170B"/>
    <w:rsid w:val="004843B1"/>
    <w:rsid w:val="0048512F"/>
    <w:rsid w:val="00490A8B"/>
    <w:rsid w:val="0049216E"/>
    <w:rsid w:val="0049649D"/>
    <w:rsid w:val="00497FE5"/>
    <w:rsid w:val="004C3E0A"/>
    <w:rsid w:val="004C40F4"/>
    <w:rsid w:val="004F0E7F"/>
    <w:rsid w:val="004F52DD"/>
    <w:rsid w:val="004F61F2"/>
    <w:rsid w:val="00502A06"/>
    <w:rsid w:val="0052225E"/>
    <w:rsid w:val="005366E7"/>
    <w:rsid w:val="00555E5E"/>
    <w:rsid w:val="005747AB"/>
    <w:rsid w:val="005A321E"/>
    <w:rsid w:val="005C3E46"/>
    <w:rsid w:val="005D7EF7"/>
    <w:rsid w:val="005F6F98"/>
    <w:rsid w:val="00607473"/>
    <w:rsid w:val="00651A40"/>
    <w:rsid w:val="00665D54"/>
    <w:rsid w:val="0066612E"/>
    <w:rsid w:val="00675D54"/>
    <w:rsid w:val="006C01DA"/>
    <w:rsid w:val="00706506"/>
    <w:rsid w:val="0072096F"/>
    <w:rsid w:val="007457E7"/>
    <w:rsid w:val="00774553"/>
    <w:rsid w:val="007A0EFF"/>
    <w:rsid w:val="007F01E0"/>
    <w:rsid w:val="007F3961"/>
    <w:rsid w:val="008040B6"/>
    <w:rsid w:val="00806EA1"/>
    <w:rsid w:val="0081201F"/>
    <w:rsid w:val="00814ABA"/>
    <w:rsid w:val="00823B8D"/>
    <w:rsid w:val="00860EA5"/>
    <w:rsid w:val="008B290F"/>
    <w:rsid w:val="008D0B4B"/>
    <w:rsid w:val="009422BC"/>
    <w:rsid w:val="00983624"/>
    <w:rsid w:val="009A6B4E"/>
    <w:rsid w:val="009D7BF9"/>
    <w:rsid w:val="009E334F"/>
    <w:rsid w:val="00A113F6"/>
    <w:rsid w:val="00A17270"/>
    <w:rsid w:val="00A628E4"/>
    <w:rsid w:val="00A84DBD"/>
    <w:rsid w:val="00A96699"/>
    <w:rsid w:val="00AB169F"/>
    <w:rsid w:val="00AC5F81"/>
    <w:rsid w:val="00AC7D46"/>
    <w:rsid w:val="00AE0F04"/>
    <w:rsid w:val="00AF5203"/>
    <w:rsid w:val="00AF6708"/>
    <w:rsid w:val="00B1432A"/>
    <w:rsid w:val="00B64F5B"/>
    <w:rsid w:val="00B8140B"/>
    <w:rsid w:val="00BC6818"/>
    <w:rsid w:val="00C1568F"/>
    <w:rsid w:val="00C31466"/>
    <w:rsid w:val="00C920D2"/>
    <w:rsid w:val="00CA10A0"/>
    <w:rsid w:val="00CA4419"/>
    <w:rsid w:val="00CD249D"/>
    <w:rsid w:val="00D041E9"/>
    <w:rsid w:val="00D37767"/>
    <w:rsid w:val="00D643D9"/>
    <w:rsid w:val="00D85A3D"/>
    <w:rsid w:val="00D933A6"/>
    <w:rsid w:val="00D96D10"/>
    <w:rsid w:val="00DA0F4A"/>
    <w:rsid w:val="00DD2527"/>
    <w:rsid w:val="00E20B7C"/>
    <w:rsid w:val="00E22F34"/>
    <w:rsid w:val="00E67DD2"/>
    <w:rsid w:val="00E90976"/>
    <w:rsid w:val="00E95CC5"/>
    <w:rsid w:val="00F066FD"/>
    <w:rsid w:val="00F139E6"/>
    <w:rsid w:val="00F4319C"/>
    <w:rsid w:val="00FA36D7"/>
    <w:rsid w:val="00FB28CB"/>
    <w:rsid w:val="00FE4762"/>
    <w:rsid w:val="0DA22832"/>
    <w:rsid w:val="31ED2FDF"/>
    <w:rsid w:val="340375ED"/>
    <w:rsid w:val="612D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napToGrid w:val="0"/>
      <w:spacing w:line="360" w:lineRule="auto"/>
      <w:ind w:firstLine="50" w:firstLineChars="50"/>
      <w:outlineLvl w:val="1"/>
    </w:pPr>
    <w:rPr>
      <w:rFonts w:ascii="Times" w:hAnsi="Times" w:eastAsia="宋体" w:cstheme="majorBidi"/>
      <w:b/>
      <w:bCs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字符"/>
    <w:basedOn w:val="8"/>
    <w:link w:val="2"/>
    <w:uiPriority w:val="9"/>
    <w:rPr>
      <w:rFonts w:ascii="Times" w:hAnsi="Times" w:eastAsia="宋体" w:cstheme="majorBidi"/>
      <w:b/>
      <w:bCs/>
      <w:szCs w:val="32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9B2E3-04C7-4FFD-820F-E9FF6C415A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525</Characters>
  <Lines>4</Lines>
  <Paragraphs>1</Paragraphs>
  <TotalTime>1380</TotalTime>
  <ScaleCrop>false</ScaleCrop>
  <LinksUpToDate>false</LinksUpToDate>
  <CharactersWithSpaces>616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2022-05-07T15:51:00Z</dcterms:created>
  <dc:creator>Sylvie</dc:creator>
  <cp:lastModifiedBy>陈卓妍</cp:lastModifiedBy>
  <dcterms:modified xsi:type="dcterms:W3CDTF">2024-11-20T13:36:56Z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4B02DD0EB1854EF0B1D52577132F4F08_13</vt:lpwstr>
  </property>
</Properties>
</file>