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6C4C" w14:textId="2CD88CA9" w:rsidR="003C745E" w:rsidRPr="003C745E" w:rsidRDefault="00CF5663" w:rsidP="003C745E">
      <w:pPr>
        <w:rPr>
          <w:vanish/>
        </w:rPr>
      </w:pPr>
      <w:r w:rsidRPr="00CF5663">
        <w:rPr>
          <w:rFonts w:eastAsiaTheme="majorEastAsia" w:cstheme="majorBidi"/>
          <w:color w:val="000000" w:themeColor="text1"/>
          <w:sz w:val="28"/>
          <w:szCs w:val="32"/>
        </w:rPr>
        <w:t>Comparison of Simulated vs. Observed Disease Onset Times</w:t>
      </w:r>
    </w:p>
    <w:tbl>
      <w:tblPr>
        <w:tblStyle w:val="TableGrid"/>
        <w:tblW w:w="3616" w:type="dxa"/>
        <w:tblLook w:val="04A0" w:firstRow="1" w:lastRow="0" w:firstColumn="1" w:lastColumn="0" w:noHBand="0" w:noVBand="1"/>
      </w:tblPr>
      <w:tblGrid>
        <w:gridCol w:w="1069"/>
        <w:gridCol w:w="1276"/>
        <w:gridCol w:w="1336"/>
      </w:tblGrid>
      <w:tr w:rsidR="003C745E" w:rsidRPr="003C745E" w14:paraId="0EBCE4B3" w14:textId="77777777" w:rsidTr="003C745E">
        <w:trPr>
          <w:trHeight w:val="345"/>
        </w:trPr>
        <w:tc>
          <w:tcPr>
            <w:tcW w:w="0" w:type="auto"/>
            <w:noWrap/>
          </w:tcPr>
          <w:p w14:paraId="1CFC4EA5" w14:textId="23824AF8" w:rsidR="003C745E" w:rsidRPr="003C745E" w:rsidRDefault="003C745E" w:rsidP="003C745E">
            <w:pPr>
              <w:rPr>
                <w:b/>
                <w:bCs/>
              </w:rPr>
            </w:pPr>
            <w:r w:rsidRPr="003C745E">
              <w:rPr>
                <w:b/>
                <w:bCs/>
              </w:rPr>
              <w:t>Model</w:t>
            </w:r>
          </w:p>
        </w:tc>
        <w:tc>
          <w:tcPr>
            <w:tcW w:w="0" w:type="auto"/>
            <w:noWrap/>
          </w:tcPr>
          <w:p w14:paraId="1661DC39" w14:textId="1EAE1CEF" w:rsidR="003C745E" w:rsidRPr="003C745E" w:rsidRDefault="003C745E" w:rsidP="003C745E">
            <w:pPr>
              <w:rPr>
                <w:b/>
                <w:bCs/>
              </w:rPr>
            </w:pPr>
            <w:r w:rsidRPr="003C745E">
              <w:rPr>
                <w:b/>
                <w:bCs/>
              </w:rPr>
              <w:t>Err( days)</w:t>
            </w:r>
          </w:p>
        </w:tc>
        <w:tc>
          <w:tcPr>
            <w:tcW w:w="0" w:type="auto"/>
            <w:noWrap/>
          </w:tcPr>
          <w:p w14:paraId="434A26BC" w14:textId="3D9D9B53" w:rsidR="003C745E" w:rsidRPr="003C745E" w:rsidRDefault="003C745E" w:rsidP="003C745E">
            <w:pPr>
              <w:rPr>
                <w:b/>
                <w:bCs/>
              </w:rPr>
            </w:pPr>
            <w:r w:rsidRPr="003C745E">
              <w:rPr>
                <w:b/>
                <w:bCs/>
              </w:rPr>
              <w:t>Err(hours)</w:t>
            </w:r>
          </w:p>
        </w:tc>
      </w:tr>
      <w:tr w:rsidR="003C745E" w:rsidRPr="003C745E" w14:paraId="08B677D5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382AC1A2" w14:textId="77777777" w:rsidR="003C745E" w:rsidRPr="003C745E" w:rsidRDefault="003C745E" w:rsidP="003C745E">
            <w:pPr>
              <w:spacing w:after="160" w:line="278" w:lineRule="auto"/>
            </w:pPr>
            <w:proofErr w:type="spellStart"/>
            <w:r w:rsidRPr="003C745E">
              <w:t>Dmcast</w:t>
            </w:r>
            <w:proofErr w:type="spellEnd"/>
          </w:p>
        </w:tc>
        <w:tc>
          <w:tcPr>
            <w:tcW w:w="0" w:type="auto"/>
            <w:noWrap/>
            <w:hideMark/>
          </w:tcPr>
          <w:p w14:paraId="5B533838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-25.12</w:t>
            </w:r>
          </w:p>
        </w:tc>
        <w:tc>
          <w:tcPr>
            <w:tcW w:w="0" w:type="auto"/>
            <w:noWrap/>
            <w:hideMark/>
          </w:tcPr>
          <w:p w14:paraId="22A0AA6A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-602.93</w:t>
            </w:r>
          </w:p>
        </w:tc>
      </w:tr>
      <w:tr w:rsidR="003C745E" w:rsidRPr="003C745E" w14:paraId="51D86C69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6FDE7943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Epi</w:t>
            </w:r>
          </w:p>
        </w:tc>
        <w:tc>
          <w:tcPr>
            <w:tcW w:w="0" w:type="auto"/>
            <w:noWrap/>
            <w:hideMark/>
          </w:tcPr>
          <w:p w14:paraId="44DEF9B3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-14.57</w:t>
            </w:r>
          </w:p>
        </w:tc>
        <w:tc>
          <w:tcPr>
            <w:tcW w:w="0" w:type="auto"/>
            <w:noWrap/>
            <w:hideMark/>
          </w:tcPr>
          <w:p w14:paraId="391E1355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-349.62</w:t>
            </w:r>
          </w:p>
        </w:tc>
      </w:tr>
      <w:tr w:rsidR="003C745E" w:rsidRPr="003C745E" w14:paraId="5271ECBE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505E8D99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Ipi</w:t>
            </w:r>
          </w:p>
        </w:tc>
        <w:tc>
          <w:tcPr>
            <w:tcW w:w="0" w:type="auto"/>
            <w:noWrap/>
            <w:hideMark/>
          </w:tcPr>
          <w:p w14:paraId="566B1181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-4.91</w:t>
            </w:r>
          </w:p>
        </w:tc>
        <w:tc>
          <w:tcPr>
            <w:tcW w:w="0" w:type="auto"/>
            <w:noWrap/>
            <w:hideMark/>
          </w:tcPr>
          <w:p w14:paraId="648B636B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-117.82</w:t>
            </w:r>
          </w:p>
        </w:tc>
      </w:tr>
      <w:tr w:rsidR="003C745E" w:rsidRPr="003C745E" w14:paraId="4014F6A0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059AEB01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Magarey</w:t>
            </w:r>
          </w:p>
        </w:tc>
        <w:tc>
          <w:tcPr>
            <w:tcW w:w="0" w:type="auto"/>
            <w:noWrap/>
            <w:hideMark/>
          </w:tcPr>
          <w:p w14:paraId="23363FBC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-6.72</w:t>
            </w:r>
          </w:p>
        </w:tc>
        <w:tc>
          <w:tcPr>
            <w:tcW w:w="0" w:type="auto"/>
            <w:noWrap/>
            <w:hideMark/>
          </w:tcPr>
          <w:p w14:paraId="7337D5E0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-161.23</w:t>
            </w:r>
          </w:p>
        </w:tc>
      </w:tr>
      <w:tr w:rsidR="003C745E" w:rsidRPr="003C745E" w14:paraId="53B02C7C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40A77D0B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Rule310</w:t>
            </w:r>
          </w:p>
        </w:tc>
        <w:tc>
          <w:tcPr>
            <w:tcW w:w="0" w:type="auto"/>
            <w:noWrap/>
            <w:hideMark/>
          </w:tcPr>
          <w:p w14:paraId="7474ED54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2.98</w:t>
            </w:r>
          </w:p>
        </w:tc>
        <w:tc>
          <w:tcPr>
            <w:tcW w:w="0" w:type="auto"/>
            <w:noWrap/>
            <w:hideMark/>
          </w:tcPr>
          <w:p w14:paraId="44C1A3A8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71.47</w:t>
            </w:r>
          </w:p>
        </w:tc>
      </w:tr>
      <w:tr w:rsidR="003C745E" w:rsidRPr="003C745E" w14:paraId="54DA5E29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3D73CD55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UCSC</w:t>
            </w:r>
          </w:p>
        </w:tc>
        <w:tc>
          <w:tcPr>
            <w:tcW w:w="0" w:type="auto"/>
            <w:noWrap/>
            <w:hideMark/>
          </w:tcPr>
          <w:p w14:paraId="1E98F9EB" w14:textId="77777777" w:rsidR="003C745E" w:rsidRPr="003C745E" w:rsidRDefault="003C745E" w:rsidP="003C745E">
            <w:pPr>
              <w:spacing w:after="160" w:line="278" w:lineRule="auto"/>
            </w:pPr>
            <w:proofErr w:type="spellStart"/>
            <w:r w:rsidRPr="003C745E">
              <w:t>NaN</w:t>
            </w:r>
            <w:proofErr w:type="spellEnd"/>
          </w:p>
        </w:tc>
        <w:tc>
          <w:tcPr>
            <w:tcW w:w="0" w:type="auto"/>
            <w:noWrap/>
            <w:hideMark/>
          </w:tcPr>
          <w:p w14:paraId="6DB85D26" w14:textId="77777777" w:rsidR="003C745E" w:rsidRPr="003C745E" w:rsidRDefault="003C745E" w:rsidP="003C745E">
            <w:pPr>
              <w:spacing w:after="160" w:line="278" w:lineRule="auto"/>
            </w:pPr>
            <w:proofErr w:type="spellStart"/>
            <w:r w:rsidRPr="003C745E">
              <w:t>NaN</w:t>
            </w:r>
            <w:proofErr w:type="spellEnd"/>
          </w:p>
        </w:tc>
      </w:tr>
      <w:tr w:rsidR="003C745E" w:rsidRPr="003C745E" w14:paraId="26C85D9E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3ACE1B48" w14:textId="77777777" w:rsidR="003C745E" w:rsidRPr="003C745E" w:rsidRDefault="003C745E" w:rsidP="003C745E">
            <w:pPr>
              <w:spacing w:after="160" w:line="278" w:lineRule="auto"/>
            </w:pPr>
            <w:proofErr w:type="spellStart"/>
            <w:r w:rsidRPr="003C745E">
              <w:t>laore</w:t>
            </w:r>
            <w:proofErr w:type="spellEnd"/>
          </w:p>
        </w:tc>
        <w:tc>
          <w:tcPr>
            <w:tcW w:w="0" w:type="auto"/>
            <w:noWrap/>
            <w:hideMark/>
          </w:tcPr>
          <w:p w14:paraId="0FF9685C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7.44</w:t>
            </w:r>
          </w:p>
        </w:tc>
        <w:tc>
          <w:tcPr>
            <w:tcW w:w="0" w:type="auto"/>
            <w:noWrap/>
            <w:hideMark/>
          </w:tcPr>
          <w:p w14:paraId="6E2544AC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178.67</w:t>
            </w:r>
          </w:p>
        </w:tc>
      </w:tr>
      <w:tr w:rsidR="003C745E" w:rsidRPr="003C745E" w14:paraId="3ADF0D65" w14:textId="77777777" w:rsidTr="003C745E">
        <w:trPr>
          <w:trHeight w:val="345"/>
        </w:trPr>
        <w:tc>
          <w:tcPr>
            <w:tcW w:w="0" w:type="auto"/>
            <w:noWrap/>
            <w:hideMark/>
          </w:tcPr>
          <w:p w14:paraId="226B335B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misfits</w:t>
            </w:r>
          </w:p>
        </w:tc>
        <w:tc>
          <w:tcPr>
            <w:tcW w:w="0" w:type="auto"/>
            <w:noWrap/>
            <w:hideMark/>
          </w:tcPr>
          <w:p w14:paraId="059DFC69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8.64</w:t>
            </w:r>
          </w:p>
        </w:tc>
        <w:tc>
          <w:tcPr>
            <w:tcW w:w="0" w:type="auto"/>
            <w:noWrap/>
            <w:hideMark/>
          </w:tcPr>
          <w:p w14:paraId="18E8ED29" w14:textId="77777777" w:rsidR="003C745E" w:rsidRPr="003C745E" w:rsidRDefault="003C745E" w:rsidP="003C745E">
            <w:pPr>
              <w:spacing w:after="160" w:line="278" w:lineRule="auto"/>
            </w:pPr>
            <w:r w:rsidRPr="003C745E">
              <w:t>207.47</w:t>
            </w:r>
          </w:p>
        </w:tc>
      </w:tr>
    </w:tbl>
    <w:p w14:paraId="3240475C" w14:textId="77777777" w:rsidR="00B73686" w:rsidRDefault="00B73686"/>
    <w:p w14:paraId="4758F03C" w14:textId="386446C7" w:rsidR="003C745E" w:rsidRDefault="003C745E" w:rsidP="003C745E">
      <w:r w:rsidRPr="003C745E">
        <w:t xml:space="preserve">The table presents the mean error in predicting the </w:t>
      </w:r>
      <w:proofErr w:type="spellStart"/>
      <w:r w:rsidRPr="003C745E">
        <w:t>onsetDate</w:t>
      </w:r>
      <w:proofErr w:type="spellEnd"/>
      <w:r w:rsidRPr="003C745E">
        <w:t xml:space="preserve"> across all  sites. A </w:t>
      </w:r>
      <w:r>
        <w:t>general</w:t>
      </w:r>
      <w:r w:rsidRPr="003C745E">
        <w:t xml:space="preserve"> trend among the models is the earlier</w:t>
      </w:r>
      <w:r>
        <w:t xml:space="preserve"> </w:t>
      </w:r>
      <w:r w:rsidRPr="003C745E">
        <w:t xml:space="preserve">prediction of the date of symptom appearance and, by extension, the initial infection. </w:t>
      </w:r>
    </w:p>
    <w:p w14:paraId="591B89A8" w14:textId="77777777" w:rsidR="003C745E" w:rsidRDefault="003C745E" w:rsidP="003C745E"/>
    <w:p w14:paraId="36CC8CFC" w14:textId="65D816D1" w:rsidR="00C97486" w:rsidRDefault="00CF5663" w:rsidP="00C97486">
      <w:pPr>
        <w:pStyle w:val="Heading2"/>
      </w:pPr>
      <w:r>
        <w:t xml:space="preserve">Comparison of </w:t>
      </w:r>
      <w:r w:rsidR="00C97486">
        <w:t xml:space="preserve">set </w:t>
      </w:r>
      <w:r>
        <w:t xml:space="preserve">phenological parameters </w:t>
      </w:r>
      <w:r w:rsidR="00C97486">
        <w:t>vs optimized ones</w:t>
      </w:r>
    </w:p>
    <w:p w14:paraId="6B4DBC2D" w14:textId="413E0C36" w:rsidR="00B44E3E" w:rsidRPr="00B44E3E" w:rsidRDefault="00B44E3E" w:rsidP="00B44E3E">
      <w:r w:rsidRPr="00B44E3E">
        <w:t>Before calibrating the disease model parameters, the phenological parameters were optimized using the same calibration method.</w:t>
      </w:r>
      <w:r w:rsidRPr="00B44E3E">
        <w:t xml:space="preserve"> </w:t>
      </w:r>
      <w:r w:rsidRPr="00B44E3E">
        <w:t>The new parameters are generally lower than the default settings. The calibration, therefore, reduces the parameter values, which implies a later development of the phenological phases when compared to the previous (default) situation</w:t>
      </w:r>
      <w:r w:rsidR="00E849A9">
        <w:t xml:space="preserve"> (?)</w:t>
      </w:r>
      <w:r w:rsidRPr="00B44E3E">
        <w:t>.</w:t>
      </w:r>
    </w:p>
    <w:p w14:paraId="222D40E4" w14:textId="77777777" w:rsidR="001723E0" w:rsidRPr="00C97486" w:rsidRDefault="001723E0" w:rsidP="00C97486"/>
    <w:p w14:paraId="748A12D3" w14:textId="45D23B87" w:rsidR="00C97486" w:rsidRDefault="00092684" w:rsidP="003C745E">
      <w:r w:rsidRPr="00092684">
        <w:lastRenderedPageBreak/>
        <w:drawing>
          <wp:inline distT="0" distB="0" distL="0" distR="0" wp14:anchorId="2D4281EF" wp14:editId="60FF6882">
            <wp:extent cx="5679173" cy="3339548"/>
            <wp:effectExtent l="0" t="0" r="0" b="0"/>
            <wp:docPr id="1619568416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68416" name="Picture 1" descr="A graph of different sizes and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315" cy="334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1B9" w14:textId="15414E4E" w:rsidR="00092684" w:rsidRDefault="00092684" w:rsidP="003C745E">
      <w:r>
        <w:rPr>
          <w:noProof/>
        </w:rPr>
        <w:drawing>
          <wp:inline distT="0" distB="0" distL="0" distR="0" wp14:anchorId="4C5A1FA2" wp14:editId="1AA59D88">
            <wp:extent cx="5457625" cy="3218087"/>
            <wp:effectExtent l="0" t="0" r="0" b="1905"/>
            <wp:docPr id="1689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0" cy="3224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81707" w14:textId="0D1BFAE8" w:rsidR="00CF5663" w:rsidRDefault="00B44E3E" w:rsidP="00B44E3E">
      <w:r>
        <w:t>Consequently, when comparing the BBCH grapevine evolution during the season, we notice that the BBCH phase derived from the optimized parameters shows a time shift forward (i.e., it occurs earlier).</w:t>
      </w:r>
      <w:r>
        <w:t xml:space="preserve"> </w:t>
      </w:r>
      <w:r>
        <w:t>This is the result of a set of parameters with lower values. Lower parameter values cause a delay in the BBCH evolution.</w:t>
      </w:r>
      <w:r>
        <w:t xml:space="preserve"> </w:t>
      </w:r>
      <w:r>
        <w:t>Example: If the chill threshold is lower, the model becomes more demanding in terms of cold accumulation. Consequently, the dormancy release is slower because achieving the chill requirement takes more days.</w:t>
      </w:r>
    </w:p>
    <w:p w14:paraId="6928C8AA" w14:textId="01ED646B" w:rsidR="00B44E3E" w:rsidRDefault="00B44E3E" w:rsidP="00B44E3E">
      <w:r w:rsidRPr="00B44E3E">
        <w:lastRenderedPageBreak/>
        <w:drawing>
          <wp:inline distT="0" distB="0" distL="0" distR="0" wp14:anchorId="0B32075C" wp14:editId="76271826">
            <wp:extent cx="5943600" cy="3443605"/>
            <wp:effectExtent l="0" t="0" r="0" b="4445"/>
            <wp:docPr id="153788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3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53D1" w14:textId="053976B2" w:rsidR="00B44E3E" w:rsidRDefault="00B44E3E" w:rsidP="00B44E3E">
      <w:r w:rsidRPr="00B44E3E">
        <w:drawing>
          <wp:inline distT="0" distB="0" distL="0" distR="0" wp14:anchorId="088B4962" wp14:editId="544A204C">
            <wp:extent cx="5943600" cy="3503295"/>
            <wp:effectExtent l="0" t="0" r="0" b="1905"/>
            <wp:docPr id="714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8D70" w14:textId="6656E0DB" w:rsidR="005D25A3" w:rsidRDefault="005D25A3" w:rsidP="005D25A3">
      <w:r w:rsidRPr="005D25A3">
        <w:t>I</w:t>
      </w:r>
      <w:r w:rsidRPr="005D25A3">
        <w:t xml:space="preserve">n many cases, the optimized BBCH stage is achieved before the simulated BBCH </w:t>
      </w:r>
      <w:proofErr w:type="spellStart"/>
      <w:r w:rsidRPr="005D25A3">
        <w:t>stage.This</w:t>
      </w:r>
      <w:proofErr w:type="spellEnd"/>
      <w:r w:rsidRPr="005D25A3">
        <w:t xml:space="preserve"> is likely due to the fact that the optimized chilling requirement also has generally lower values. In these specific cases, a lower requirement makes it possible to end dormancy earlier.</w:t>
      </w:r>
    </w:p>
    <w:p w14:paraId="5E38CC75" w14:textId="68018506" w:rsidR="00BB14F6" w:rsidRPr="00B44E3E" w:rsidRDefault="00BB14F6" w:rsidP="003C745E"/>
    <w:sectPr w:rsidR="00BB14F6" w:rsidRPr="00B44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6422"/>
    <w:multiLevelType w:val="hybridMultilevel"/>
    <w:tmpl w:val="36DAD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4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A6"/>
    <w:rsid w:val="00092684"/>
    <w:rsid w:val="00140703"/>
    <w:rsid w:val="001723E0"/>
    <w:rsid w:val="0020486F"/>
    <w:rsid w:val="002828A6"/>
    <w:rsid w:val="003C745E"/>
    <w:rsid w:val="005A706E"/>
    <w:rsid w:val="005D25A3"/>
    <w:rsid w:val="00920D58"/>
    <w:rsid w:val="00A03FCA"/>
    <w:rsid w:val="00B44E3E"/>
    <w:rsid w:val="00B73686"/>
    <w:rsid w:val="00B92AF7"/>
    <w:rsid w:val="00BB14F6"/>
    <w:rsid w:val="00BF5792"/>
    <w:rsid w:val="00C97486"/>
    <w:rsid w:val="00CF5663"/>
    <w:rsid w:val="00DA386E"/>
    <w:rsid w:val="00E5014A"/>
    <w:rsid w:val="00E849A9"/>
    <w:rsid w:val="00FC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051C"/>
  <w15:chartTrackingRefBased/>
  <w15:docId w15:val="{8FC200E5-816A-4909-B542-09F0E7FD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45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45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45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5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45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5E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45E"/>
    <w:rPr>
      <w:rFonts w:ascii="Times New Roman" w:eastAsiaTheme="majorEastAsia" w:hAnsi="Times New Roman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7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Cavallo, Eleonora (CREA-AA)</dc:creator>
  <cp:keywords/>
  <dc:description/>
  <cp:lastModifiedBy>Del Cavallo, Eleonora (CREA-AA)</cp:lastModifiedBy>
  <cp:revision>10</cp:revision>
  <dcterms:created xsi:type="dcterms:W3CDTF">2025-11-04T07:46:00Z</dcterms:created>
  <dcterms:modified xsi:type="dcterms:W3CDTF">2025-11-05T09:51:00Z</dcterms:modified>
</cp:coreProperties>
</file>