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2.png" ContentType="image/png"/>
  <Override PartName="/word/media/rId34.png" ContentType="image/png"/>
  <Override PartName="/word/media/rId39.png" ContentType="image/png"/>
  <Override PartName="/word/media/rId61.png" ContentType="image/png"/>
  <Override PartName="/word/media/rId46.png" ContentType="image/png"/>
  <Override PartName="/word/media/rId49.png" ContentType="image/png"/>
  <Override PartName="/word/media/rId53.png" ContentType="image/png"/>
  <Override PartName="/word/media/rId57.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group-project-report"/>
    <w:p>
      <w:pPr>
        <w:pStyle w:val="Heading1"/>
      </w:pPr>
      <w:r>
        <w:t xml:space="preserve">Group Project Report</w:t>
      </w:r>
    </w:p>
    <w:p>
      <w:pPr>
        <w:pStyle w:val="FirstParagraph"/>
      </w:pPr>
      <w:r>
        <w:rPr>
          <w:b/>
          <w:bCs/>
        </w:rPr>
        <w:t xml:space="preserve">Module:</w:t>
      </w:r>
      <w:r>
        <w:t xml:space="preserve"> </w:t>
      </w:r>
      <w:r>
        <w:t xml:space="preserve">ITC 6110 — Natural Language Processing</w:t>
      </w:r>
    </w:p>
    <w:p>
      <w:pPr>
        <w:pStyle w:val="BodyText"/>
      </w:pPr>
      <w:r>
        <w:rPr>
          <w:b/>
          <w:bCs/>
        </w:rPr>
        <w:t xml:space="preserve">Term:</w:t>
      </w:r>
      <w:r>
        <w:t xml:space="preserve"> </w:t>
      </w:r>
      <w:r>
        <w:t xml:space="preserve">Spring Semester 2026</w:t>
      </w:r>
    </w:p>
    <w:p>
      <w:pPr>
        <w:pStyle w:val="BodyText"/>
      </w:pPr>
      <w:r>
        <w:rPr>
          <w:b/>
          <w:bCs/>
        </w:rPr>
        <w:t xml:space="preserve">Team Members:</w:t>
      </w:r>
      <w:r>
        <w:t xml:space="preserve"> </w:t>
      </w:r>
      <w:r>
        <w:t xml:space="preserve">George Antonakis · Orestis Pappas · Samuel Cook</w:t>
      </w:r>
    </w:p>
    <w:p>
      <w:pPr>
        <w:pStyle w:val="BodyText"/>
      </w:pPr>
      <w:r>
        <w:rPr>
          <w:b/>
          <w:bCs/>
        </w:rPr>
        <w:t xml:space="preserve">Submission Date:</w:t>
      </w:r>
      <w:r>
        <w:t xml:space="preserve"> </w:t>
      </w:r>
      <w:r>
        <w:t xml:space="preserve">22 July 2026</w:t>
      </w:r>
    </w:p>
    <w:bookmarkEnd w:id="9"/>
    <w:bookmarkStart w:id="10" w:name="abstract"/>
    <w:p>
      <w:pPr>
        <w:pStyle w:val="Heading1"/>
      </w:pPr>
      <w:r>
        <w:t xml:space="preserve">Abstract</w:t>
      </w:r>
    </w:p>
    <w:p>
      <w:pPr>
        <w:pStyle w:val="FirstParagraph"/>
      </w:pPr>
      <w:r>
        <w:t xml:space="preserve">This report documents an end-to-end NLP pipeline applied to the BBC News dataset (2,225 articles, 5 categories). We cover data collection, preprocessing, feature engineering, topic modelling, text classification using both traditional machine learning and deep learning approaches, a Retrieval-Augmented Generation (RAG) conversational system, and an interactive Streamlit web application. During preprocessing we deduplicated the corpus to</w:t>
      </w:r>
      <w:r>
        <w:t xml:space="preserve"> </w:t>
      </w:r>
      <w:r>
        <w:rPr>
          <w:b/>
          <w:bCs/>
        </w:rPr>
        <w:t xml:space="preserve">2,126 unique articles</w:t>
      </w:r>
      <w:r>
        <w:t xml:space="preserve">, removing 99 duplicates — including 42 articles that appeared in both the train and test splits, a genuine train/test leak — so that all modelling runs on clean, non-overlapping data. Our best classifier, fine-tuned DistilBERT, achieves 97.21% accuracy and 0.971 macro F1, only marginally ahead of a Linear SVM at 97.00%. The RAG system uses FAISS vector search with Flan-T5-base for answer generation, evaluated via ROUGE-L.</w:t>
      </w:r>
    </w:p>
    <w:bookmarkEnd w:id="10"/>
    <w:bookmarkStart w:id="14" w:name="data-collection"/>
    <w:p>
      <w:pPr>
        <w:pStyle w:val="Heading1"/>
      </w:pPr>
      <w:r>
        <w:t xml:space="preserve">1. Data Collection</w:t>
      </w:r>
    </w:p>
    <w:bookmarkStart w:id="11" w:name="dataset"/>
    <w:p>
      <w:pPr>
        <w:pStyle w:val="Heading2"/>
      </w:pPr>
      <w:r>
        <w:t xml:space="preserve">1.1 Dataset</w:t>
      </w:r>
    </w:p>
    <w:p>
      <w:pPr>
        <w:pStyle w:val="FirstParagraph"/>
      </w:pPr>
      <w:r>
        <w:t xml:space="preserve">We used the</w:t>
      </w:r>
      <w:r>
        <w:t xml:space="preserve"> </w:t>
      </w:r>
      <w:r>
        <w:rPr>
          <w:b/>
          <w:bCs/>
        </w:rPr>
        <w:t xml:space="preserve">BBC News dataset</w:t>
      </w:r>
      <w:r>
        <w:t xml:space="preserve"> </w:t>
      </w:r>
      <w:r>
        <w:t xml:space="preserve">(Greene &amp; Cunningham, 2006), sourced from HuggingFace Hub (SetFit/bbc-news). The dataset comprises</w:t>
      </w:r>
      <w:r>
        <w:t xml:space="preserve"> </w:t>
      </w:r>
      <w:r>
        <w:rPr>
          <w:b/>
          <w:bCs/>
        </w:rPr>
        <w:t xml:space="preserve">2,225 news articles</w:t>
      </w:r>
      <w:r>
        <w:t xml:space="preserve"> </w:t>
      </w:r>
      <w:r>
        <w:t xml:space="preserve">collected from the BBC website between 2004 and 2005, labelled across five mutually exclusive categories: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Train</w:t>
            </w:r>
          </w:p>
        </w:tc>
        <w:tc>
          <w:tcPr/>
          <w:p>
            <w:pPr>
              <w:pStyle w:val="Compact"/>
            </w:pPr>
            <w:r>
              <w:t xml:space="preserve">Test</w:t>
            </w:r>
          </w:p>
        </w:tc>
        <w:tc>
          <w:tcPr/>
          <w:p>
            <w:pPr>
              <w:pStyle w:val="Compact"/>
            </w:pPr>
            <w:r>
              <w:t xml:space="preserve">Total</w:t>
            </w:r>
          </w:p>
        </w:tc>
      </w:tr>
      <w:tr>
        <w:tc>
          <w:tcPr/>
          <w:p>
            <w:pPr>
              <w:pStyle w:val="Compact"/>
            </w:pPr>
            <w:r>
              <w:t xml:space="preserve">Sport</w:t>
            </w:r>
          </w:p>
        </w:tc>
        <w:tc>
          <w:tcPr/>
          <w:p>
            <w:pPr>
              <w:pStyle w:val="Compact"/>
            </w:pPr>
            <w:r>
              <w:t xml:space="preserve">275</w:t>
            </w:r>
          </w:p>
        </w:tc>
        <w:tc>
          <w:tcPr/>
          <w:p>
            <w:pPr>
              <w:pStyle w:val="Compact"/>
            </w:pPr>
            <w:r>
              <w:t xml:space="preserve">236</w:t>
            </w:r>
          </w:p>
        </w:tc>
        <w:tc>
          <w:tcPr/>
          <w:p>
            <w:pPr>
              <w:pStyle w:val="Compact"/>
            </w:pPr>
            <w:r>
              <w:t xml:space="preserve">511</w:t>
            </w:r>
          </w:p>
        </w:tc>
      </w:tr>
      <w:tr>
        <w:tc>
          <w:tcPr/>
          <w:p>
            <w:pPr>
              <w:pStyle w:val="Compact"/>
            </w:pPr>
            <w:r>
              <w:t xml:space="preserve">Business</w:t>
            </w:r>
          </w:p>
        </w:tc>
        <w:tc>
          <w:tcPr/>
          <w:p>
            <w:pPr>
              <w:pStyle w:val="Compact"/>
            </w:pPr>
            <w:r>
              <w:t xml:space="preserve">286</w:t>
            </w:r>
          </w:p>
        </w:tc>
        <w:tc>
          <w:tcPr/>
          <w:p>
            <w:pPr>
              <w:pStyle w:val="Compact"/>
            </w:pPr>
            <w:r>
              <w:t xml:space="preserve">224</w:t>
            </w:r>
          </w:p>
        </w:tc>
        <w:tc>
          <w:tcPr/>
          <w:p>
            <w:pPr>
              <w:pStyle w:val="Compact"/>
            </w:pPr>
            <w:r>
              <w:t xml:space="preserve">510</w:t>
            </w:r>
          </w:p>
        </w:tc>
      </w:tr>
      <w:tr>
        <w:tc>
          <w:tcPr/>
          <w:p>
            <w:pPr>
              <w:pStyle w:val="Compact"/>
            </w:pPr>
            <w:r>
              <w:t xml:space="preserve">Politics</w:t>
            </w:r>
          </w:p>
        </w:tc>
        <w:tc>
          <w:tcPr/>
          <w:p>
            <w:pPr>
              <w:pStyle w:val="Compact"/>
            </w:pPr>
            <w:r>
              <w:t xml:space="preserve">242</w:t>
            </w:r>
          </w:p>
        </w:tc>
        <w:tc>
          <w:tcPr/>
          <w:p>
            <w:pPr>
              <w:pStyle w:val="Compact"/>
            </w:pPr>
            <w:r>
              <w:t xml:space="preserve">175</w:t>
            </w:r>
          </w:p>
        </w:tc>
        <w:tc>
          <w:tcPr/>
          <w:p>
            <w:pPr>
              <w:pStyle w:val="Compact"/>
            </w:pPr>
            <w:r>
              <w:t xml:space="preserve">417</w:t>
            </w:r>
          </w:p>
        </w:tc>
      </w:tr>
      <w:tr>
        <w:tc>
          <w:tcPr/>
          <w:p>
            <w:pPr>
              <w:pStyle w:val="Compact"/>
            </w:pPr>
            <w:r>
              <w:t xml:space="preserve">Tech</w:t>
            </w:r>
          </w:p>
        </w:tc>
        <w:tc>
          <w:tcPr/>
          <w:p>
            <w:pPr>
              <w:pStyle w:val="Compact"/>
            </w:pPr>
            <w:r>
              <w:t xml:space="preserve">212</w:t>
            </w:r>
          </w:p>
        </w:tc>
        <w:tc>
          <w:tcPr/>
          <w:p>
            <w:pPr>
              <w:pStyle w:val="Compact"/>
            </w:pPr>
            <w:r>
              <w:t xml:space="preserve">189</w:t>
            </w:r>
          </w:p>
        </w:tc>
        <w:tc>
          <w:tcPr/>
          <w:p>
            <w:pPr>
              <w:pStyle w:val="Compact"/>
            </w:pPr>
            <w:r>
              <w:t xml:space="preserve">401</w:t>
            </w:r>
          </w:p>
        </w:tc>
      </w:tr>
      <w:tr>
        <w:tc>
          <w:tcPr/>
          <w:p>
            <w:pPr>
              <w:pStyle w:val="Compact"/>
            </w:pPr>
            <w:r>
              <w:t xml:space="preserve">Entertainment</w:t>
            </w:r>
          </w:p>
        </w:tc>
        <w:tc>
          <w:tcPr/>
          <w:p>
            <w:pPr>
              <w:pStyle w:val="Compact"/>
            </w:pPr>
            <w:r>
              <w:t xml:space="preserve">210</w:t>
            </w:r>
          </w:p>
        </w:tc>
        <w:tc>
          <w:tcPr/>
          <w:p>
            <w:pPr>
              <w:pStyle w:val="Compact"/>
            </w:pPr>
            <w:r>
              <w:t xml:space="preserve">176</w:t>
            </w:r>
          </w:p>
        </w:tc>
        <w:tc>
          <w:tcPr/>
          <w:p>
            <w:pPr>
              <w:pStyle w:val="Compact"/>
            </w:pPr>
            <w:r>
              <w:t xml:space="preserve">386</w:t>
            </w:r>
          </w:p>
        </w:tc>
      </w:tr>
      <w:tr>
        <w:tc>
          <w:tcPr/>
          <w:p>
            <w:pPr>
              <w:pStyle w:val="Compact"/>
            </w:pPr>
            <w:r>
              <w:rPr>
                <w:b/>
                <w:bCs/>
              </w:rPr>
              <w:t xml:space="preserve">Total</w:t>
            </w:r>
          </w:p>
        </w:tc>
        <w:tc>
          <w:tcPr/>
          <w:p>
            <w:pPr>
              <w:pStyle w:val="Compact"/>
            </w:pPr>
            <w:r>
              <w:rPr>
                <w:b/>
                <w:bCs/>
              </w:rPr>
              <w:t xml:space="preserve">1,225</w:t>
            </w:r>
          </w:p>
        </w:tc>
        <w:tc>
          <w:tcPr/>
          <w:p>
            <w:pPr>
              <w:pStyle w:val="Compact"/>
            </w:pPr>
            <w:r>
              <w:rPr>
                <w:b/>
                <w:bCs/>
              </w:rPr>
              <w:t xml:space="preserve">1,000</w:t>
            </w:r>
          </w:p>
        </w:tc>
        <w:tc>
          <w:tcPr/>
          <w:p>
            <w:pPr>
              <w:pStyle w:val="Compact"/>
            </w:pPr>
            <w:r>
              <w:rPr>
                <w:b/>
                <w:bCs/>
              </w:rPr>
              <w:t xml:space="preserve">2,225</w:t>
            </w:r>
          </w:p>
        </w:tc>
      </w:tr>
    </w:tbl>
    <w:p>
      <w:pPr>
        <w:pStyle w:val="BodyText"/>
      </w:pPr>
      <w:r>
        <w:t xml:space="preserve">The dataset is pre-split into 1,225 training articles and 1,000 test articles. Articles average approximately 390 words in length. As Section 2.2 explains, these raw counts fall to</w:t>
      </w:r>
      <w:r>
        <w:t xml:space="preserve"> </w:t>
      </w:r>
      <w:r>
        <w:rPr>
          <w:b/>
          <w:bCs/>
        </w:rPr>
        <w:t xml:space="preserve">1,194 train / 932 test</w:t>
      </w:r>
      <w:r>
        <w:t xml:space="preserve"> </w:t>
      </w:r>
      <w:r>
        <w:t xml:space="preserve">after we remove duplicate and cross-split articles, and all modelling in this report uses the deduplicated corpus.</w:t>
      </w:r>
    </w:p>
    <w:bookmarkEnd w:id="11"/>
    <w:bookmarkStart w:id="12" w:name="dataset-justification"/>
    <w:p>
      <w:pPr>
        <w:pStyle w:val="Heading2"/>
      </w:pPr>
      <w:r>
        <w:t xml:space="preserve">1.2 Dataset Justification</w:t>
      </w:r>
    </w:p>
    <w:p>
      <w:pPr>
        <w:pStyle w:val="FirstParagraph"/>
      </w:pPr>
      <w:r>
        <w:t xml:space="preserve">BBC News was chosen because it is a well-established, cleanly labelled benchmark for multi-class text classification: its five categories (business, entertainment, politics, sport, tech) are mutually distinct yet share enough general-news vocabulary to make the problem non-trivial. At 2,225 articles it is large enough to train and fairly evaluate both classical and deep models, while remaining small enough to run the full pipeline — including a fine-tuned transformer and a RAG system — on a single laptop. Its topical breadth also makes it a natural fit for every task in this project: distinct categories for classification, latent themes for topic modelling, and self-contained factual articles for retrieval-augmented question answering.</w:t>
      </w:r>
    </w:p>
    <w:bookmarkEnd w:id="12"/>
    <w:bookmarkStart w:id="13" w:name="loading-the-data"/>
    <w:p>
      <w:pPr>
        <w:pStyle w:val="Heading2"/>
      </w:pPr>
      <w:r>
        <w:t xml:space="preserve">1.3 Loading the Data</w:t>
      </w:r>
    </w:p>
    <w:p>
      <w:pPr>
        <w:pStyle w:val="FirstParagraph"/>
      </w:pPr>
      <w:r>
        <w:t xml:space="preserve">The dataset was loaded using the HuggingFace</w:t>
      </w:r>
      <w:r>
        <w:t xml:space="preserve"> </w:t>
      </w:r>
      <w:r>
        <w:rPr>
          <w:rStyle w:val="VerbatimChar"/>
        </w:rPr>
        <w:t xml:space="preserve">datasets</w:t>
      </w:r>
      <w:r>
        <w:t xml:space="preserve"> </w:t>
      </w:r>
      <w:r>
        <w:t xml:space="preserve">library and saved locally as</w:t>
      </w:r>
      <w:r>
        <w:t xml:space="preserve"> </w:t>
      </w:r>
      <w:r>
        <w:rPr>
          <w:rStyle w:val="VerbatimChar"/>
        </w:rPr>
        <w:t xml:space="preserve">data/raw/bbc_news.csv</w:t>
      </w:r>
      <w:r>
        <w:t xml:space="preserve"> </w:t>
      </w:r>
      <w:r>
        <w:t xml:space="preserve">for reproducibility:</w:t>
      </w:r>
    </w:p>
    <w:p>
      <w:pPr>
        <w:pStyle w:val="SourceCode"/>
      </w:pPr>
      <w:r>
        <w:rPr>
          <w:rStyle w:val="ImportTok"/>
        </w:rPr>
        <w:t xml:space="preserve">from</w:t>
      </w:r>
      <w:r>
        <w:rPr>
          <w:rStyle w:val="NormalTok"/>
        </w:rPr>
        <w:t xml:space="preserve"> datasets </w:t>
      </w:r>
      <w:r>
        <w:rPr>
          <w:rStyle w:val="ImportTok"/>
        </w:rPr>
        <w:t xml:space="preserve">import</w:t>
      </w:r>
      <w:r>
        <w:rPr>
          <w:rStyle w:val="NormalTok"/>
        </w:rPr>
        <w:t xml:space="preserve"> load_dataset</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ds </w:t>
      </w:r>
      <w:r>
        <w:rPr>
          <w:rStyle w:val="OperatorTok"/>
        </w:rPr>
        <w:t xml:space="preserve">=</w:t>
      </w:r>
      <w:r>
        <w:rPr>
          <w:rStyle w:val="NormalTok"/>
        </w:rPr>
        <w:t xml:space="preserve"> load_dataset(</w:t>
      </w:r>
      <w:r>
        <w:rPr>
          <w:rStyle w:val="StringTok"/>
        </w:rPr>
        <w:t xml:space="preserve">"SetFit/bbc-news"</w:t>
      </w:r>
      <w:r>
        <w:rPr>
          <w:rStyle w:val="NormalTok"/>
        </w:rPr>
        <w:t xml:space="preserve">)</w:t>
      </w:r>
      <w:r>
        <w:br/>
      </w:r>
      <w:r>
        <w:rPr>
          <w:rStyle w:val="NormalTok"/>
        </w:rPr>
        <w:t xml:space="preserve">df </w:t>
      </w:r>
      <w:r>
        <w:rPr>
          <w:rStyle w:val="OperatorTok"/>
        </w:rPr>
        <w:t xml:space="preserve">=</w:t>
      </w:r>
      <w:r>
        <w:rPr>
          <w:rStyle w:val="NormalTok"/>
        </w:rPr>
        <w:t xml:space="preserve"> pd.concat([pd.DataFrame(ds[</w:t>
      </w:r>
      <w:r>
        <w:rPr>
          <w:rStyle w:val="StringTok"/>
        </w:rPr>
        <w:t xml:space="preserve">'train'</w:t>
      </w:r>
      <w:r>
        <w:rPr>
          <w:rStyle w:val="NormalTok"/>
        </w:rPr>
        <w:t xml:space="preserve">]).assign(split</w:t>
      </w:r>
      <w:r>
        <w:rPr>
          <w:rStyle w:val="OperatorTok"/>
        </w:rPr>
        <w:t xml:space="preserve">=</w:t>
      </w:r>
      <w:r>
        <w:rPr>
          <w:rStyle w:val="StringTok"/>
        </w:rPr>
        <w:t xml:space="preserve">'train'</w:t>
      </w:r>
      <w:r>
        <w:rPr>
          <w:rStyle w:val="NormalTok"/>
        </w:rPr>
        <w:t xml:space="preserve">),</w:t>
      </w:r>
      <w:r>
        <w:br/>
      </w:r>
      <w:r>
        <w:rPr>
          <w:rStyle w:val="NormalTok"/>
        </w:rPr>
        <w:t xml:space="preserve">                pd.DataFrame(ds[</w:t>
      </w:r>
      <w:r>
        <w:rPr>
          <w:rStyle w:val="StringTok"/>
        </w:rPr>
        <w:t xml:space="preserve">'test'</w:t>
      </w:r>
      <w:r>
        <w:rPr>
          <w:rStyle w:val="NormalTok"/>
        </w:rPr>
        <w:t xml:space="preserve">]).assign(split</w:t>
      </w:r>
      <w:r>
        <w:rPr>
          <w:rStyle w:val="OperatorTok"/>
        </w:rPr>
        <w:t xml:space="preserve">=</w:t>
      </w:r>
      <w:r>
        <w:rPr>
          <w:rStyle w:val="StringTok"/>
        </w:rPr>
        <w:t xml:space="preserve">'test'</w:t>
      </w:r>
      <w:r>
        <w:rPr>
          <w:rStyle w:val="NormalTok"/>
        </w:rPr>
        <w:t xml:space="preserve">)])</w:t>
      </w:r>
      <w:r>
        <w:br/>
      </w:r>
      <w:r>
        <w:rPr>
          <w:rStyle w:val="NormalTok"/>
        </w:rPr>
        <w:t xml:space="preserve">df.to_csv(</w:t>
      </w:r>
      <w:r>
        <w:rPr>
          <w:rStyle w:val="StringTok"/>
        </w:rPr>
        <w:t xml:space="preserve">'data/raw/bbc_news.csv'</w:t>
      </w:r>
      <w:r>
        <w:rPr>
          <w:rStyle w:val="NormalTok"/>
        </w:rPr>
        <w:t xml:space="preserve">, index</w:t>
      </w:r>
      <w:r>
        <w:rPr>
          <w:rStyle w:val="OperatorTok"/>
        </w:rPr>
        <w:t xml:space="preserve">=</w:t>
      </w:r>
      <w:r>
        <w:rPr>
          <w:rStyle w:val="VariableTok"/>
        </w:rPr>
        <w:t xml:space="preserve">False</w:t>
      </w:r>
      <w:r>
        <w:rPr>
          <w:rStyle w:val="NormalTok"/>
        </w:rPr>
        <w:t xml:space="preserve">)</w:t>
      </w:r>
    </w:p>
    <w:bookmarkEnd w:id="13"/>
    <w:bookmarkEnd w:id="14"/>
    <w:bookmarkStart w:id="19" w:name="data-preprocessing-and-normalisation"/>
    <w:p>
      <w:pPr>
        <w:pStyle w:val="Heading1"/>
      </w:pPr>
      <w:r>
        <w:t xml:space="preserve">2. Data Preprocessing and Normalisation</w:t>
      </w:r>
    </w:p>
    <w:bookmarkStart w:id="15" w:name="pipeline-overview"/>
    <w:p>
      <w:pPr>
        <w:pStyle w:val="Heading2"/>
      </w:pPr>
      <w:r>
        <w:t xml:space="preserve">2.1 Pipeline Overview</w:t>
      </w:r>
    </w:p>
    <w:p>
      <w:pPr>
        <w:pStyle w:val="FirstParagraph"/>
      </w:pPr>
      <w:r>
        <w:t xml:space="preserve">Text preprocessing was implemented in Notebook 1 (</w:t>
      </w:r>
      <w:r>
        <w:rPr>
          <w:rStyle w:val="VerbatimChar"/>
        </w:rPr>
        <w:t xml:space="preserve">01_data_features.ipynb</w:t>
      </w:r>
      <w:r>
        <w:t xml:space="preserve">). The following steps were applied in sequence:</w:t>
      </w:r>
    </w:p>
    <w:p>
      <w:pPr>
        <w:numPr>
          <w:ilvl w:val="0"/>
          <w:numId w:val="1001"/>
        </w:numPr>
      </w:pPr>
      <w:r>
        <w:rPr>
          <w:b/>
          <w:bCs/>
        </w:rPr>
        <w:t xml:space="preserve">Lowercasing.</w:t>
      </w:r>
      <w:r>
        <w:t xml:space="preserve"> </w:t>
      </w:r>
      <w:r>
        <w:t xml:space="preserve">Lowercasing avoids the models treating capitalised and uncapitalised versions of the same word as different entities. This also reduces the vocabulary size, potentially lowering training time and memory usage.</w:t>
      </w:r>
    </w:p>
    <w:p>
      <w:pPr>
        <w:numPr>
          <w:ilvl w:val="0"/>
          <w:numId w:val="1001"/>
        </w:numPr>
      </w:pPr>
      <w:r>
        <w:rPr>
          <w:b/>
          <w:bCs/>
        </w:rPr>
        <w:t xml:space="preserve">URL and HTML removal</w:t>
      </w:r>
      <w:r>
        <w:t xml:space="preserve"> </w:t>
      </w:r>
      <w:r>
        <w:t xml:space="preserve">— regex patterns removed hyperlinks and tags. HTML tags are formatting and meta-information not relevant to linguistic analysis; removing them ensures only meaningful textual content is analysed and prevents markup from introducing noise.</w:t>
      </w:r>
    </w:p>
    <w:p>
      <w:pPr>
        <w:numPr>
          <w:ilvl w:val="0"/>
          <w:numId w:val="1001"/>
        </w:numPr>
      </w:pPr>
      <w:r>
        <w:rPr>
          <w:b/>
          <w:bCs/>
        </w:rPr>
        <w:t xml:space="preserve">Punctuation and special-character removal.</w:t>
      </w:r>
      <w:r>
        <w:t xml:space="preserve"> </w:t>
      </w:r>
      <w:r>
        <w:t xml:space="preserve">This standardisation reduces text dimensionality and prevents algorithms from misinterpreting words. As with lowercasing, forms such as</w:t>
      </w:r>
      <w:r>
        <w:t xml:space="preserve"> </w:t>
      </w:r>
      <w:r>
        <w:t xml:space="preserve">“hello”</w:t>
      </w:r>
      <w:r>
        <w:t xml:space="preserve">,</w:t>
      </w:r>
      <w:r>
        <w:t xml:space="preserve"> </w:t>
      </w:r>
      <w:r>
        <w:t xml:space="preserve">“hello!”</w:t>
      </w:r>
      <w:r>
        <w:t xml:space="preserve"> </w:t>
      </w:r>
      <w:r>
        <w:t xml:space="preserve">and</w:t>
      </w:r>
      <w:r>
        <w:t xml:space="preserve"> </w:t>
      </w:r>
      <w:r>
        <w:t xml:space="preserve">“hello,”</w:t>
      </w:r>
      <w:r>
        <w:t xml:space="preserve"> </w:t>
      </w:r>
      <w:r>
        <w:t xml:space="preserve">would otherwise be treated as different tokens; removing punctuation maintains consistency and reduces token variation.</w:t>
      </w:r>
    </w:p>
    <w:p>
      <w:pPr>
        <w:numPr>
          <w:ilvl w:val="0"/>
          <w:numId w:val="1001"/>
        </w:numPr>
      </w:pPr>
      <w:r>
        <w:rPr>
          <w:b/>
          <w:bCs/>
        </w:rPr>
        <w:t xml:space="preserve">Stop-word removal</w:t>
      </w:r>
      <w:r>
        <w:t xml:space="preserve"> </w:t>
      </w:r>
      <w:r>
        <w:t xml:space="preserve">— using NLTK’s English stop-word list. This eliminates frequent, uninformative words that carry little topical value, reducing noise, improving efficiency and sharpening feature extraction.</w:t>
      </w:r>
    </w:p>
    <w:p>
      <w:pPr>
        <w:numPr>
          <w:ilvl w:val="0"/>
          <w:numId w:val="1001"/>
        </w:numPr>
      </w:pPr>
      <w:r>
        <w:rPr>
          <w:b/>
          <w:bCs/>
        </w:rPr>
        <w:t xml:space="preserve">Lemmatisation</w:t>
      </w:r>
      <w:r>
        <w:t xml:space="preserve"> </w:t>
      </w:r>
      <w:r>
        <w:t xml:space="preserve">— WordNetLemmatizer applied to reduce inflected forms to their base lemma. Lemmatisation reduces dimensionality by mapping variants of a word to one root form, and improves semantic consistency by ensuring the model treats related word forms uniformly.</w:t>
      </w:r>
    </w:p>
    <w:p>
      <w:pPr>
        <w:numPr>
          <w:ilvl w:val="0"/>
          <w:numId w:val="1001"/>
        </w:numPr>
      </w:pPr>
      <w:r>
        <w:rPr>
          <w:b/>
          <w:bCs/>
        </w:rPr>
        <w:t xml:space="preserve">Tokenisation</w:t>
      </w:r>
      <w:r>
        <w:t xml:space="preserve"> </w:t>
      </w:r>
      <w:r>
        <w:t xml:space="preserve">— whitespace tokenisation after cleaning. Tokenisation underpins the rest of the pipeline: it converts text into the discrete units that are later mapped to numeric IDs or vectors for machine-learning and deep-learning models, and supports feature extraction and vocabulary management.</w:t>
      </w:r>
    </w:p>
    <w:bookmarkEnd w:id="15"/>
    <w:bookmarkStart w:id="16" w:name="missing-and-duplicate-values"/>
    <w:p>
      <w:pPr>
        <w:pStyle w:val="Heading2"/>
      </w:pPr>
      <w:r>
        <w:t xml:space="preserve">2.2 Missing and Duplicate Values</w:t>
      </w:r>
    </w:p>
    <w:p>
      <w:pPr>
        <w:pStyle w:val="FirstParagraph"/>
      </w:pPr>
      <w:r>
        <w:t xml:space="preserve">No missing values were found in any field. Checking for exact duplicates (rows identical across all columns) flagged</w:t>
      </w:r>
      <w:r>
        <w:t xml:space="preserve"> </w:t>
      </w:r>
      <w:r>
        <w:rPr>
          <w:b/>
          <w:bCs/>
        </w:rPr>
        <w:t xml:space="preserve">57 rows</w:t>
      </w:r>
      <w:r>
        <w:t xml:space="preserve">. Deduplication was then applied on the article</w:t>
      </w:r>
      <w:r>
        <w:t xml:space="preserve"> </w:t>
      </w:r>
      <w:r>
        <w:rPr>
          <w:b/>
          <w:bCs/>
        </w:rPr>
        <w:t xml:space="preserve">text</w:t>
      </w:r>
      <w:r>
        <w:t xml:space="preserve"> </w:t>
      </w:r>
      <w:r>
        <w:t xml:space="preserve">alone (</w:t>
      </w:r>
      <w:r>
        <w:rPr>
          <w:rStyle w:val="VerbatimChar"/>
        </w:rPr>
        <w:t xml:space="preserve">drop_duplicates(subset='text')</w:t>
      </w:r>
      <w:r>
        <w:t xml:space="preserve">), which removed</w:t>
      </w:r>
      <w:r>
        <w:t xml:space="preserve"> </w:t>
      </w:r>
      <w:r>
        <w:rPr>
          <w:b/>
          <w:bCs/>
        </w:rPr>
        <w:t xml:space="preserve">99 rows in total</w:t>
      </w:r>
      <w:r>
        <w:t xml:space="preserve"> </w:t>
      </w:r>
      <w:r>
        <w:t xml:space="preserve">— the 57 exact duplicates plus</w:t>
      </w:r>
      <w:r>
        <w:t xml:space="preserve"> </w:t>
      </w:r>
      <w:r>
        <w:rPr>
          <w:b/>
          <w:bCs/>
        </w:rPr>
        <w:t xml:space="preserve">42 articles that appeared in both the train and test splits</w:t>
      </w:r>
      <w:r>
        <w:t xml:space="preserve"> </w:t>
      </w:r>
      <w:r>
        <w:t xml:space="preserve">(identical text, different split label). This left</w:t>
      </w:r>
      <w:r>
        <w:t xml:space="preserve"> </w:t>
      </w:r>
      <w:r>
        <w:rPr>
          <w:b/>
          <w:bCs/>
        </w:rPr>
        <w:t xml:space="preserve">2,126 unique articles</w:t>
      </w:r>
      <w:r>
        <w:t xml:space="preserve">, split</w:t>
      </w:r>
      <w:r>
        <w:t xml:space="preserve"> </w:t>
      </w:r>
      <w:r>
        <w:rPr>
          <w:b/>
          <w:bCs/>
        </w:rPr>
        <w:t xml:space="preserve">1,194 train / 932 test</w:t>
      </w:r>
      <w:r>
        <w:t xml:space="preserve">. Deduplicating on text rather than on the full row is deliberate: those 42 cross-split articles were a genuine train/test leak — an article seen in training would be trivially classified at test time — so removing them before modelling prevents artificially inflated test accuracy. Every model in this report is therefore evaluated on the same clean 932-article held-out test set.</w:t>
      </w:r>
    </w:p>
    <w:bookmarkEnd w:id="16"/>
    <w:bookmarkStart w:id="17" w:name="stemming-vs-lemmatisation"/>
    <w:p>
      <w:pPr>
        <w:pStyle w:val="Heading2"/>
      </w:pPr>
      <w:r>
        <w:t xml:space="preserve">2.3 Stemming vs Lemmatisation</w:t>
      </w:r>
    </w:p>
    <w:p>
      <w:pPr>
        <w:pStyle w:val="FirstParagraph"/>
      </w:pPr>
      <w:r>
        <w:t xml:space="preserve">We chose lemmatisation over stemming because lemmatised tokens preserve valid English words, which improves the quality of downstream embeddings and topic models. Stemming produces truncated forms that can conflate unrelated terms (for example, the Porter stemmer maps</w:t>
      </w:r>
      <w:r>
        <w:t xml:space="preserve"> </w:t>
      </w:r>
      <w:r>
        <w:t xml:space="preserve">“universal”</w:t>
      </w:r>
      <w:r>
        <w:t xml:space="preserve">,</w:t>
      </w:r>
      <w:r>
        <w:t xml:space="preserve"> </w:t>
      </w:r>
      <w:r>
        <w:t xml:space="preserve">“university”</w:t>
      </w:r>
      <w:r>
        <w:t xml:space="preserve"> </w:t>
      </w:r>
      <w:r>
        <w:t xml:space="preserve">and</w:t>
      </w:r>
      <w:r>
        <w:t xml:space="preserve"> </w:t>
      </w:r>
      <w:r>
        <w:t xml:space="preserve">“universe”</w:t>
      </w:r>
      <w:r>
        <w:t xml:space="preserve"> </w:t>
      </w:r>
      <w:r>
        <w:t xml:space="preserve">all to</w:t>
      </w:r>
      <w:r>
        <w:t xml:space="preserve"> </w:t>
      </w:r>
      <w:r>
        <w:t xml:space="preserve">“univers”</w:t>
      </w:r>
      <w:r>
        <w:t xml:space="preserve">).</w:t>
      </w:r>
    </w:p>
    <w:bookmarkEnd w:id="17"/>
    <w:bookmarkStart w:id="18" w:name="design-decision-two-text-representations"/>
    <w:p>
      <w:pPr>
        <w:pStyle w:val="Heading2"/>
      </w:pPr>
      <w:r>
        <w:t xml:space="preserve">2.4 Design Decision: Two Text Representations</w:t>
      </w:r>
    </w:p>
    <w:p>
      <w:pPr>
        <w:pStyle w:val="FirstParagraph"/>
      </w:pPr>
      <w:r>
        <w:t xml:space="preserve">Two versions of the text were retained throughout the pipeline:</w:t>
      </w:r>
    </w:p>
    <w:p>
      <w:pPr>
        <w:pStyle w:val="Compact"/>
        <w:numPr>
          <w:ilvl w:val="0"/>
          <w:numId w:val="1002"/>
        </w:numPr>
      </w:pPr>
      <w:r>
        <w:rPr>
          <w:rStyle w:val="VerbatimChar"/>
        </w:rPr>
        <w:t xml:space="preserve">text</w:t>
      </w:r>
      <w:r>
        <w:t xml:space="preserve"> </w:t>
      </w:r>
      <w:r>
        <w:t xml:space="preserve">— original, uncleaned text (used by DistilBERT, whose subword tokeniser performs better on natural language)</w:t>
      </w:r>
    </w:p>
    <w:p>
      <w:pPr>
        <w:pStyle w:val="Compact"/>
        <w:numPr>
          <w:ilvl w:val="0"/>
          <w:numId w:val="1002"/>
        </w:numPr>
      </w:pPr>
      <w:r>
        <w:rPr>
          <w:rStyle w:val="VerbatimChar"/>
        </w:rPr>
        <w:t xml:space="preserve">text_processed</w:t>
      </w:r>
      <w:r>
        <w:t xml:space="preserve"> </w:t>
      </w:r>
      <w:r>
        <w:t xml:space="preserve">— lemmatised, stop-word-free tokens (used by Word2Vec, the BiLSTM, TF-IDF and LDA)</w:t>
      </w:r>
    </w:p>
    <w:p>
      <w:pPr>
        <w:pStyle w:val="FirstParagraph"/>
      </w:pPr>
      <w:r>
        <w:t xml:space="preserve">As an illustration, the article fragment</w:t>
      </w:r>
      <w:r>
        <w:t xml:space="preserve"> </w:t>
      </w:r>
      <w:r>
        <w:t xml:space="preserve">“…will seek to regain her title at the bupa great ireland run on 9 april in dublin”</w:t>
      </w:r>
      <w:r>
        <w:t xml:space="preserve"> </w:t>
      </w:r>
      <w:r>
        <w:t xml:space="preserve">becomes the token sequence</w:t>
      </w:r>
      <w:r>
        <w:t xml:space="preserve"> </w:t>
      </w:r>
      <w:r>
        <w:t xml:space="preserve">“seek regain title bupa great ireland run april dublin”</w:t>
      </w:r>
      <w:r>
        <w:t xml:space="preserve">: the function words (</w:t>
      </w:r>
      <w:r>
        <w:rPr>
          <w:i/>
          <w:iCs/>
        </w:rPr>
        <w:t xml:space="preserve">will, to, her, at, the, on, in</w:t>
      </w:r>
      <w:r>
        <w:t xml:space="preserve">) and the numeral are removed, leaving the content terms that carry the topical signal.</w:t>
      </w:r>
    </w:p>
    <w:bookmarkEnd w:id="18"/>
    <w:bookmarkEnd w:id="19"/>
    <w:bookmarkStart w:id="33" w:name="X0882cdf2e2a5b48e31e917d74edc3066cb0c0df"/>
    <w:p>
      <w:pPr>
        <w:pStyle w:val="Heading1"/>
      </w:pPr>
      <w:r>
        <w:t xml:space="preserve">3. Feature Engineering and Text Visualisation</w:t>
      </w:r>
    </w:p>
    <w:bookmarkStart w:id="20" w:name="tf-idf"/>
    <w:p>
      <w:pPr>
        <w:pStyle w:val="Heading2"/>
      </w:pPr>
      <w:r>
        <w:t xml:space="preserve">3.1 TF-IDF</w:t>
      </w:r>
    </w:p>
    <w:p>
      <w:pPr>
        <w:pStyle w:val="FirstParagraph"/>
      </w:pPr>
      <w:r>
        <w:t xml:space="preserve">TF-IDF (Term Frequency–Inverse Document Frequency) balances how often a term appears in a document against how common it is across the corpus, so that words frequent within one article but rare overall receive the highest weight. This naturally highlights topic-specific vocabulary: in the BBC dataset the characteristic words of each category receive higher TF-IDF scores. Its main limitation is that it ignores word order and semantic meaning.</w:t>
      </w:r>
    </w:p>
    <w:p>
      <w:pPr>
        <w:pStyle w:val="BodyText"/>
      </w:pPr>
      <w:r>
        <w:t xml:space="preserve">For our project a TF-IDF matrix was constructed over the deduplicated corpus (2,126 × 10,000 features) using scikit-learn’s</w:t>
      </w:r>
      <w:r>
        <w:t xml:space="preserve"> </w:t>
      </w:r>
      <w:r>
        <w:rPr>
          <w:rStyle w:val="VerbatimChar"/>
        </w:rPr>
        <w:t xml:space="preserve">TfidfVectorizer</w:t>
      </w:r>
      <w:r>
        <w:t xml:space="preserve">. This sparse representation captures term importance relative to the corpus and serves as input for the classical ML classifiers in Section 4.2.</w:t>
      </w:r>
    </w:p>
    <w:bookmarkEnd w:id="20"/>
    <w:bookmarkStart w:id="21" w:name="word2vec-embeddings"/>
    <w:p>
      <w:pPr>
        <w:pStyle w:val="Heading2"/>
      </w:pPr>
      <w:r>
        <w:t xml:space="preserve">3.2 Word2Vec Embeddings</w:t>
      </w:r>
    </w:p>
    <w:p>
      <w:pPr>
        <w:pStyle w:val="FirstParagraph"/>
      </w:pPr>
      <w:r>
        <w:t xml:space="preserve">In contrast to TF-IDF, Word2Vec (Mikolov et al., 2013) learns from surrounding words rather than raw frequency: words appearing in similar contexts develop similar vector representations, allowing semantic relationships to emerge automatically. Averaging a document’s word embeddings gives a simple document representation, though averaging can lose contextual information because all word positions contribute equally.</w:t>
      </w:r>
    </w:p>
    <w:p>
      <w:pPr>
        <w:pStyle w:val="BodyText"/>
      </w:pPr>
      <w:r>
        <w:t xml:space="preserve">A</w:t>
      </w:r>
      <w:r>
        <w:t xml:space="preserve"> </w:t>
      </w:r>
      <w:r>
        <w:rPr>
          <w:b/>
          <w:bCs/>
        </w:rPr>
        <w:t xml:space="preserve">Skip-gram Word2Vec</w:t>
      </w:r>
      <w:r>
        <w:t xml:space="preserve"> </w:t>
      </w:r>
      <w:r>
        <w:t xml:space="preserve">model was trained on the BBC corpus using Gensim (embedding size = 100, window = 5,</w:t>
      </w:r>
      <w:r>
        <w:t xml:space="preserve"> </w:t>
      </w:r>
      <w:r>
        <w:rPr>
          <w:rStyle w:val="VerbatimChar"/>
        </w:rPr>
        <w:t xml:space="preserve">min_count</w:t>
      </w:r>
      <w:r>
        <w:t xml:space="preserve"> </w:t>
      </w:r>
      <w:r>
        <w:t xml:space="preserve">= 2,</w:t>
      </w:r>
      <w:r>
        <w:t xml:space="preserve"> </w:t>
      </w:r>
      <w:r>
        <w:rPr>
          <w:rStyle w:val="VerbatimChar"/>
        </w:rPr>
        <w:t xml:space="preserve">epochs</w:t>
      </w:r>
      <w:r>
        <w:t xml:space="preserve"> </w:t>
      </w:r>
      <w:r>
        <w:t xml:space="preserve">= 10). Document-level vectors were obtained by averaging the word vectors of all tokens in each article, producing a (2,126 × 100) matrix.</w:t>
      </w:r>
    </w:p>
    <w:p>
      <w:pPr>
        <w:pStyle w:val="BodyText"/>
      </w:pPr>
      <w:r>
        <w:rPr>
          <w:b/>
          <w:bCs/>
        </w:rPr>
        <w:t xml:space="preserve">Nearest-neighbour examples.</w:t>
      </w:r>
      <w:r>
        <w:t xml:space="preserve"> </w:t>
      </w:r>
      <w:r>
        <w:t xml:space="preserve">Querying the trained model for the words most similar to a query term produces intuitive, domain-coherent neighbourhoods. For</w:t>
      </w:r>
      <w:r>
        <w:t xml:space="preserve"> </w:t>
      </w:r>
      <w:r>
        <w:rPr>
          <w:i/>
          <w:iCs/>
        </w:rPr>
        <w:t xml:space="preserve">football</w:t>
      </w:r>
      <w:r>
        <w:t xml:space="preserve">: league (0.685), ibrox (0.681), club (0.677) — football grounds and organisations. For</w:t>
      </w:r>
      <w:r>
        <w:t xml:space="preserve"> </w:t>
      </w:r>
      <w:r>
        <w:rPr>
          <w:i/>
          <w:iCs/>
        </w:rPr>
        <w:t xml:space="preserve">champion</w:t>
      </w:r>
      <w:r>
        <w:t xml:space="preserve">: henin (0.793), hardenne (0.789), compatriot (0.788), wimbledon (0.787) — tennis and competition terms (Justine Henin-Hardenne). For</w:t>
      </w:r>
      <w:r>
        <w:t xml:space="preserve"> </w:t>
      </w:r>
      <w:r>
        <w:rPr>
          <w:i/>
          <w:iCs/>
        </w:rPr>
        <w:t xml:space="preserve">injury</w:t>
      </w:r>
      <w:r>
        <w:t xml:space="preserve">: knee (0.784), hamstring (0.779), groin (0.730), surgery (0.720) — a coherent cluster of sports-medicine vocabulary. These neighbourhoods confirm the embeddings learned meaningful semantic structure from the corpus.</w:t>
      </w:r>
    </w:p>
    <w:bookmarkEnd w:id="21"/>
    <w:bookmarkStart w:id="25" w:name="t-sne-visualisation"/>
    <w:p>
      <w:pPr>
        <w:pStyle w:val="Heading2"/>
      </w:pPr>
      <w:r>
        <w:t xml:space="preserve">3.3 t-SNE Visualisation</w:t>
      </w:r>
    </w:p>
    <w:p>
      <w:pPr>
        <w:pStyle w:val="FirstParagraph"/>
      </w:pPr>
      <w:r>
        <w:t xml:space="preserve">t-SNE (perplexity = 30,</w:t>
      </w:r>
      <w:r>
        <w:t xml:space="preserve"> </w:t>
      </w:r>
      <w:r>
        <w:rPr>
          <w:rStyle w:val="VerbatimChar"/>
        </w:rPr>
        <w:t xml:space="preserve">max_iter</w:t>
      </w:r>
      <w:r>
        <w:t xml:space="preserve"> </w:t>
      </w:r>
      <w:r>
        <w:t xml:space="preserve">= 1,000) was applied to the 100-dimensional Word2Vec document vectors to project them into 2D for visualisation. Figure 1 shows the resulting scatter plot coloured by category.</w:t>
      </w:r>
    </w:p>
    <w:p>
      <w:pPr>
        <w:pStyle w:val="BodyText"/>
      </w:pPr>
      <w:r>
        <w:rPr>
          <w:b/>
          <w:bCs/>
        </w:rPr>
        <w:t xml:space="preserve">Figure 1:</w:t>
      </w:r>
      <w:r>
        <w:t xml:space="preserve"> </w:t>
      </w:r>
      <w:r>
        <w:t xml:space="preserve">t-SNE projection of Word2Vec document embeddings (5 BBC categories)</w:t>
      </w:r>
    </w:p>
    <w:p>
      <w:pPr>
        <w:pStyle w:val="CaptionedFigure"/>
      </w:pPr>
      <w:r>
        <w:drawing>
          <wp:inline>
            <wp:extent cx="5334000" cy="3539802"/>
            <wp:effectExtent b="0" l="0" r="0" t="0"/>
            <wp:docPr descr="t-SNE" title="" id="23" name="Picture"/>
            <a:graphic>
              <a:graphicData uri="http://schemas.openxmlformats.org/drawingml/2006/picture">
                <pic:pic>
                  <pic:nvPicPr>
                    <pic:cNvPr descr="figures/05_tsne_w2v.png" id="24" name="Picture"/>
                    <pic:cNvPicPr>
                      <a:picLocks noChangeArrowheads="1" noChangeAspect="1"/>
                    </pic:cNvPicPr>
                  </pic:nvPicPr>
                  <pic:blipFill>
                    <a:blip r:embed="rId22"/>
                    <a:stretch>
                      <a:fillRect/>
                    </a:stretch>
                  </pic:blipFill>
                  <pic:spPr bwMode="auto">
                    <a:xfrm>
                      <a:off x="0" y="0"/>
                      <a:ext cx="5334000" cy="3539802"/>
                    </a:xfrm>
                    <a:prstGeom prst="rect">
                      <a:avLst/>
                    </a:prstGeom>
                    <a:noFill/>
                    <a:ln w="9525">
                      <a:noFill/>
                      <a:headEnd/>
                      <a:tailEnd/>
                    </a:ln>
                  </pic:spPr>
                </pic:pic>
              </a:graphicData>
            </a:graphic>
          </wp:inline>
        </w:drawing>
      </w:r>
    </w:p>
    <w:p>
      <w:pPr>
        <w:pStyle w:val="ImageCaption"/>
      </w:pPr>
      <w:r>
        <w:t xml:space="preserve">t-SNE</w:t>
      </w:r>
    </w:p>
    <w:p>
      <w:pPr>
        <w:pStyle w:val="BodyText"/>
      </w:pPr>
      <w:r>
        <w:t xml:space="preserve">The projection shows clear separation for the most lexically distinctive categories:</w:t>
      </w:r>
      <w:r>
        <w:t xml:space="preserve"> </w:t>
      </w:r>
      <w:r>
        <w:rPr>
          <w:b/>
          <w:bCs/>
        </w:rPr>
        <w:t xml:space="preserve">sport</w:t>
      </w:r>
      <w:r>
        <w:t xml:space="preserve"> </w:t>
      </w:r>
      <w:r>
        <w:t xml:space="preserve">and</w:t>
      </w:r>
      <w:r>
        <w:t xml:space="preserve"> </w:t>
      </w:r>
      <w:r>
        <w:rPr>
          <w:b/>
          <w:bCs/>
        </w:rPr>
        <w:t xml:space="preserve">tech</w:t>
      </w:r>
      <w:r>
        <w:t xml:space="preserve"> </w:t>
      </w:r>
      <w:r>
        <w:t xml:space="preserve">form tight, well-isolated clusters, reflecting their specialised and largely non-overlapping vocabularies. Sport forms a compact cluster because of its specialised athletic vocabulary, which the embeddings map to nearby points; technology articles are similarly distinctive due to their consistent technical terminology.</w:t>
      </w:r>
      <w:r>
        <w:t xml:space="preserve"> </w:t>
      </w:r>
      <w:r>
        <w:rPr>
          <w:b/>
          <w:bCs/>
        </w:rPr>
        <w:t xml:space="preserve">Business</w:t>
      </w:r>
      <w:r>
        <w:t xml:space="preserve"> </w:t>
      </w:r>
      <w:r>
        <w:t xml:space="preserve">and</w:t>
      </w:r>
      <w:r>
        <w:t xml:space="preserve"> </w:t>
      </w:r>
      <w:r>
        <w:rPr>
          <w:b/>
          <w:bCs/>
        </w:rPr>
        <w:t xml:space="preserve">politics</w:t>
      </w:r>
      <w:r>
        <w:t xml:space="preserve"> </w:t>
      </w:r>
      <w:r>
        <w:t xml:space="preserve">sit closer together and show partial overlap at their boundary, which is expected given that economic, governmental and policy language is frequently shared between the two.</w:t>
      </w:r>
      <w:r>
        <w:t xml:space="preserve"> </w:t>
      </w:r>
      <w:r>
        <w:rPr>
          <w:b/>
          <w:bCs/>
        </w:rPr>
        <w:t xml:space="preserve">Entertainment</w:t>
      </w:r>
      <w:r>
        <w:t xml:space="preserve"> </w:t>
      </w:r>
      <w:r>
        <w:t xml:space="preserve">is moderately cohesive but bleeds slightly into the other classes where articles cover cross-domain stories (e.g. the business of media). The overall structure — visible clustering by category from unsupervised embeddings alone — confirms that the averaged Word2Vec document vectors capture genuine topical signal before any classifier is trained.</w:t>
      </w:r>
    </w:p>
    <w:bookmarkEnd w:id="25"/>
    <w:bookmarkStart w:id="32" w:name="word-frequency-visualisation"/>
    <w:p>
      <w:pPr>
        <w:pStyle w:val="Heading2"/>
      </w:pPr>
      <w:r>
        <w:t xml:space="preserve">3.4 Word-Frequency Visualisation</w:t>
      </w:r>
    </w:p>
    <w:p>
      <w:pPr>
        <w:pStyle w:val="FirstParagraph"/>
      </w:pPr>
      <w:r>
        <w:t xml:space="preserve">Word-frequency analysis (Figures 2–3) shows the expected general-news vocabulary dominating after stop-word removal — high-frequency terms such as</w:t>
      </w:r>
      <w:r>
        <w:t xml:space="preserve"> </w:t>
      </w:r>
      <w:r>
        <w:rPr>
          <w:i/>
          <w:iCs/>
        </w:rPr>
        <w:t xml:space="preserve">year</w:t>
      </w:r>
      <w:r>
        <w:t xml:space="preserve">,</w:t>
      </w:r>
      <w:r>
        <w:t xml:space="preserve"> </w:t>
      </w:r>
      <w:r>
        <w:rPr>
          <w:i/>
          <w:iCs/>
        </w:rPr>
        <w:t xml:space="preserve">said</w:t>
      </w:r>
      <w:r>
        <w:t xml:space="preserve">,</w:t>
      </w:r>
      <w:r>
        <w:t xml:space="preserve"> </w:t>
      </w:r>
      <w:r>
        <w:rPr>
          <w:i/>
          <w:iCs/>
        </w:rPr>
        <w:t xml:space="preserve">government</w:t>
      </w:r>
      <w:r>
        <w:t xml:space="preserve">,</w:t>
      </w:r>
      <w:r>
        <w:t xml:space="preserve"> </w:t>
      </w:r>
      <w:r>
        <w:rPr>
          <w:i/>
          <w:iCs/>
        </w:rPr>
        <w:t xml:space="preserve">company</w:t>
      </w:r>
      <w:r>
        <w:t xml:space="preserve"> </w:t>
      </w:r>
      <w:r>
        <w:t xml:space="preserve">and</w:t>
      </w:r>
      <w:r>
        <w:t xml:space="preserve"> </w:t>
      </w:r>
      <w:r>
        <w:rPr>
          <w:i/>
          <w:iCs/>
        </w:rPr>
        <w:t xml:space="preserve">game</w:t>
      </w:r>
      <w:r>
        <w:t xml:space="preserve"> </w:t>
      </w:r>
      <w:r>
        <w:t xml:space="preserve">— with category-distinctive terms emerging in the per-class frequency views (e.g. </w:t>
      </w:r>
      <w:r>
        <w:rPr>
          <w:i/>
          <w:iCs/>
        </w:rPr>
        <w:t xml:space="preserve">film</w:t>
      </w:r>
      <w:r>
        <w:t xml:space="preserve">/</w:t>
      </w:r>
      <w:r>
        <w:rPr>
          <w:i/>
          <w:iCs/>
        </w:rPr>
        <w:t xml:space="preserve">award</w:t>
      </w:r>
      <w:r>
        <w:t xml:space="preserve"> </w:t>
      </w:r>
      <w:r>
        <w:t xml:space="preserve">for entertainment,</w:t>
      </w:r>
      <w:r>
        <w:t xml:space="preserve"> </w:t>
      </w:r>
      <w:r>
        <w:rPr>
          <w:i/>
          <w:iCs/>
        </w:rPr>
        <w:t xml:space="preserve">club</w:t>
      </w:r>
      <w:r>
        <w:t xml:space="preserve">/</w:t>
      </w:r>
      <w:r>
        <w:rPr>
          <w:i/>
          <w:iCs/>
        </w:rPr>
        <w:t xml:space="preserve">player</w:t>
      </w:r>
      <w:r>
        <w:t xml:space="preserve"> </w:t>
      </w:r>
      <w:r>
        <w:t xml:space="preserve">for sport). The word cloud provides a qualitative confirmation that preprocessing left a clean, content-bearing vocabulary.</w:t>
      </w:r>
    </w:p>
    <w:p>
      <w:pPr>
        <w:pStyle w:val="BodyText"/>
      </w:pPr>
      <w:r>
        <w:rPr>
          <w:b/>
          <w:bCs/>
        </w:rPr>
        <w:t xml:space="preserve">Figure 2:</w:t>
      </w:r>
      <w:r>
        <w:t xml:space="preserve"> </w:t>
      </w:r>
      <w:r>
        <w:t xml:space="preserve">Top tokens per category after preprocessing</w:t>
      </w:r>
    </w:p>
    <w:p>
      <w:pPr>
        <w:pStyle w:val="CaptionedFigure"/>
      </w:pPr>
      <w:r>
        <w:drawing>
          <wp:inline>
            <wp:extent cx="5334000" cy="1252789"/>
            <wp:effectExtent b="0" l="0" r="0" t="0"/>
            <wp:docPr descr="Top tokens" title="" id="27" name="Picture"/>
            <a:graphic>
              <a:graphicData uri="http://schemas.openxmlformats.org/drawingml/2006/picture">
                <pic:pic>
                  <pic:nvPicPr>
                    <pic:cNvPr descr="figures/03_top_tokens_per_category.png" id="28" name="Picture"/>
                    <pic:cNvPicPr>
                      <a:picLocks noChangeArrowheads="1" noChangeAspect="1"/>
                    </pic:cNvPicPr>
                  </pic:nvPicPr>
                  <pic:blipFill>
                    <a:blip r:embed="rId26"/>
                    <a:stretch>
                      <a:fillRect/>
                    </a:stretch>
                  </pic:blipFill>
                  <pic:spPr bwMode="auto">
                    <a:xfrm>
                      <a:off x="0" y="0"/>
                      <a:ext cx="5334000" cy="1252789"/>
                    </a:xfrm>
                    <a:prstGeom prst="rect">
                      <a:avLst/>
                    </a:prstGeom>
                    <a:noFill/>
                    <a:ln w="9525">
                      <a:noFill/>
                      <a:headEnd/>
                      <a:tailEnd/>
                    </a:ln>
                  </pic:spPr>
                </pic:pic>
              </a:graphicData>
            </a:graphic>
          </wp:inline>
        </w:drawing>
      </w:r>
    </w:p>
    <w:p>
      <w:pPr>
        <w:pStyle w:val="ImageCaption"/>
      </w:pPr>
      <w:r>
        <w:t xml:space="preserve">Top tokens</w:t>
      </w:r>
    </w:p>
    <w:p>
      <w:pPr>
        <w:pStyle w:val="BodyText"/>
      </w:pPr>
      <w:r>
        <w:rPr>
          <w:b/>
          <w:bCs/>
        </w:rPr>
        <w:t xml:space="preserve">Figure 3:</w:t>
      </w:r>
      <w:r>
        <w:t xml:space="preserve"> </w:t>
      </w:r>
      <w:r>
        <w:t xml:space="preserve">Word cloud — sport category</w:t>
      </w:r>
    </w:p>
    <w:p>
      <w:pPr>
        <w:pStyle w:val="CaptionedFigure"/>
      </w:pPr>
      <w:r>
        <w:drawing>
          <wp:inline>
            <wp:extent cx="5334000" cy="2829060"/>
            <wp:effectExtent b="0" l="0" r="0" t="0"/>
            <wp:docPr descr="Word cloud" title="" id="30" name="Picture"/>
            <a:graphic>
              <a:graphicData uri="http://schemas.openxmlformats.org/drawingml/2006/picture">
                <pic:pic>
                  <pic:nvPicPr>
                    <pic:cNvPr descr="figures/04_wordcloud_sport.png" id="31" name="Picture"/>
                    <pic:cNvPicPr>
                      <a:picLocks noChangeArrowheads="1" noChangeAspect="1"/>
                    </pic:cNvPicPr>
                  </pic:nvPicPr>
                  <pic:blipFill>
                    <a:blip r:embed="rId29"/>
                    <a:stretch>
                      <a:fillRect/>
                    </a:stretch>
                  </pic:blipFill>
                  <pic:spPr bwMode="auto">
                    <a:xfrm>
                      <a:off x="0" y="0"/>
                      <a:ext cx="5334000" cy="2829060"/>
                    </a:xfrm>
                    <a:prstGeom prst="rect">
                      <a:avLst/>
                    </a:prstGeom>
                    <a:noFill/>
                    <a:ln w="9525">
                      <a:noFill/>
                      <a:headEnd/>
                      <a:tailEnd/>
                    </a:ln>
                  </pic:spPr>
                </pic:pic>
              </a:graphicData>
            </a:graphic>
          </wp:inline>
        </w:drawing>
      </w:r>
    </w:p>
    <w:p>
      <w:pPr>
        <w:pStyle w:val="ImageCaption"/>
      </w:pPr>
      <w:r>
        <w:t xml:space="preserve">Word cloud</w:t>
      </w:r>
    </w:p>
    <w:bookmarkEnd w:id="32"/>
    <w:bookmarkEnd w:id="33"/>
    <w:bookmarkStart w:id="76" w:name="model-building"/>
    <w:p>
      <w:pPr>
        <w:pStyle w:val="Heading1"/>
      </w:pPr>
      <w:r>
        <w:t xml:space="preserve">4. Model Building</w:t>
      </w:r>
    </w:p>
    <w:bookmarkStart w:id="44" w:name="Xa8e9fbfd3c70f716fbd76903901b414b275eb16"/>
    <w:p>
      <w:pPr>
        <w:pStyle w:val="Heading2"/>
      </w:pPr>
      <w:r>
        <w:t xml:space="preserve">4.1 Unsupervised Learning — Topic Modelling (LDA)</w:t>
      </w:r>
    </w:p>
    <w:p>
      <w:pPr>
        <w:pStyle w:val="FirstParagraph"/>
      </w:pPr>
      <w:r>
        <w:t xml:space="preserve">LDA assumes every document is a mixture of topics, with each topic represented as a probability distribution over words. During training the algorithm estimates both the topic distributions and the document–topic mixtures. Unlike supervised classification, LDA is an</w:t>
      </w:r>
      <w:r>
        <w:t xml:space="preserve"> </w:t>
      </w:r>
      <w:r>
        <w:rPr>
          <w:b/>
          <w:bCs/>
        </w:rPr>
        <w:t xml:space="preserve">unsupervised</w:t>
      </w:r>
      <w:r>
        <w:t xml:space="preserve"> </w:t>
      </w:r>
      <w:r>
        <w:t xml:space="preserve">method: it explores hidden thematic structure without requiring manually labelled training data. Coherence scores help judge how interpretable the resulting topics are.</w:t>
      </w:r>
    </w:p>
    <w:bookmarkStart w:id="37" w:name="algorithm"/>
    <w:p>
      <w:pPr>
        <w:pStyle w:val="Heading3"/>
      </w:pPr>
      <w:r>
        <w:t xml:space="preserve">4.1.1 Algorithm</w:t>
      </w:r>
    </w:p>
    <w:p>
      <w:pPr>
        <w:pStyle w:val="FirstParagraph"/>
      </w:pPr>
      <w:r>
        <w:t xml:space="preserve">Latent Dirichlet Allocation (Blei et al., 2003) was implemented using Gensim. The optimal number of topics</w:t>
      </w:r>
      <w:r>
        <w:t xml:space="preserve"> </w:t>
      </w:r>
      <w:r>
        <w:rPr>
          <w:i/>
          <w:iCs/>
        </w:rPr>
        <w:t xml:space="preserve">K</w:t>
      </w:r>
      <w:r>
        <w:t xml:space="preserve"> </w:t>
      </w:r>
      <w:r>
        <w:t xml:space="preserve">was selected by maximising the</w:t>
      </w:r>
      <w:r>
        <w:t xml:space="preserve"> </w:t>
      </w:r>
      <w:r>
        <w:rPr>
          <w:b/>
          <w:bCs/>
        </w:rPr>
        <w:t xml:space="preserve">C_v coherence score</w:t>
      </w:r>
      <w:r>
        <w:t xml:space="preserve"> </w:t>
      </w:r>
      <w:r>
        <w:t xml:space="preserve">(Röder et al., 2015), scanning K ∈ {2, 3, …, 12}.</w:t>
      </w:r>
    </w:p>
    <w:p>
      <w:pPr>
        <w:pStyle w:val="BodyText"/>
      </w:pPr>
      <w:r>
        <w:rPr>
          <w:b/>
          <w:bCs/>
        </w:rPr>
        <w:t xml:space="preserve">Figure 4:</w:t>
      </w:r>
      <w:r>
        <w:t xml:space="preserve"> </w:t>
      </w:r>
      <w:r>
        <w:t xml:space="preserve">Coherence score vs. number of topics</w:t>
      </w:r>
    </w:p>
    <w:p>
      <w:pPr>
        <w:pStyle w:val="CaptionedFigure"/>
      </w:pPr>
      <w:r>
        <w:drawing>
          <wp:inline>
            <wp:extent cx="5334000" cy="2339561"/>
            <wp:effectExtent b="0" l="0" r="0" t="0"/>
            <wp:docPr descr="Coherence" title="" id="35" name="Picture"/>
            <a:graphic>
              <a:graphicData uri="http://schemas.openxmlformats.org/drawingml/2006/picture">
                <pic:pic>
                  <pic:nvPicPr>
                    <pic:cNvPr descr="figures/07_lda_coherence.png" id="36" name="Picture"/>
                    <pic:cNvPicPr>
                      <a:picLocks noChangeArrowheads="1" noChangeAspect="1"/>
                    </pic:cNvPicPr>
                  </pic:nvPicPr>
                  <pic:blipFill>
                    <a:blip r:embed="rId34"/>
                    <a:stretch>
                      <a:fillRect/>
                    </a:stretch>
                  </pic:blipFill>
                  <pic:spPr bwMode="auto">
                    <a:xfrm>
                      <a:off x="0" y="0"/>
                      <a:ext cx="5334000" cy="2339561"/>
                    </a:xfrm>
                    <a:prstGeom prst="rect">
                      <a:avLst/>
                    </a:prstGeom>
                    <a:noFill/>
                    <a:ln w="9525">
                      <a:noFill/>
                      <a:headEnd/>
                      <a:tailEnd/>
                    </a:ln>
                  </pic:spPr>
                </pic:pic>
              </a:graphicData>
            </a:graphic>
          </wp:inline>
        </w:drawing>
      </w:r>
    </w:p>
    <w:p>
      <w:pPr>
        <w:pStyle w:val="ImageCaption"/>
      </w:pPr>
      <w:r>
        <w:t xml:space="preserve">Coherence</w:t>
      </w:r>
    </w:p>
    <w:p>
      <w:pPr>
        <w:pStyle w:val="BodyText"/>
      </w:pPr>
      <w:r>
        <w:t xml:space="preserve">Coherence rose steadily with K and peaked at</w:t>
      </w:r>
      <w:r>
        <w:t xml:space="preserve"> </w:t>
      </w:r>
      <w:r>
        <w:rPr>
          <w:b/>
          <w:bCs/>
        </w:rPr>
        <w:t xml:space="preserve">K = 10 (C_v = 0.4612)</w:t>
      </w:r>
      <w:r>
        <w:t xml:space="preserve">, which was selected as the final number of topics. The curve climbs sharply from K = 5 (C_v = 0.342) to K = 10 and then falls back at K = 11–12, indicating that ten topics best capture the corpus’s thematic structure without fragmenting it into incoherent sub-themes. Notably, K = 5 — the</w:t>
      </w:r>
      <w:r>
        <w:t xml:space="preserve"> </w:t>
      </w:r>
      <w:r>
        <w:t xml:space="preserve">“correct”</w:t>
      </w:r>
      <w:r>
        <w:t xml:space="preserve"> </w:t>
      </w:r>
      <w:r>
        <w:t xml:space="preserve">number of editorial categories — scores well below the optimum, showing that the data itself prefers a finer division than the five labels.</w:t>
      </w:r>
    </w:p>
    <w:bookmarkEnd w:id="37"/>
    <w:bookmarkStart w:id="38" w:name="top-words-per-topic"/>
    <w:p>
      <w:pPr>
        <w:pStyle w:val="Heading3"/>
      </w:pPr>
      <w:r>
        <w:t xml:space="preserve">4.1.2 Top Words per Topic</w:t>
      </w:r>
    </w:p>
    <w:tbl>
      <w:tblPr>
        <w:tblStyle w:val="Table"/>
        <w:tblW w:type="pct" w:w="5000"/>
        <w:tblLayout w:type="fixed"/>
        <w:tblLook w:firstRow="1" w:lastRow="0" w:firstColumn="0" w:lastColumn="0" w:noHBand="0" w:noVBand="0" w:val="0020"/>
      </w:tblPr>
      <w:tblGrid>
        <w:gridCol w:w="749"/>
        <w:gridCol w:w="7170"/>
      </w:tblGrid>
      <w:tr>
        <w:trPr>
          <w:tblHeader w:val="on"/>
        </w:trPr>
        <w:tc>
          <w:tcPr/>
          <w:p>
            <w:pPr>
              <w:pStyle w:val="Compact"/>
            </w:pPr>
            <w:r>
              <w:t xml:space="preserve">Topic</w:t>
            </w:r>
          </w:p>
        </w:tc>
        <w:tc>
          <w:tcPr/>
          <w:p>
            <w:pPr>
              <w:pStyle w:val="Compact"/>
            </w:pPr>
            <w:r>
              <w:t xml:space="preserve">Top-10 keywords</w:t>
            </w:r>
          </w:p>
        </w:tc>
      </w:tr>
      <w:tr>
        <w:tc>
          <w:tcPr/>
          <w:p>
            <w:pPr>
              <w:pStyle w:val="Compact"/>
            </w:pPr>
            <w:r>
              <w:t xml:space="preserve">1</w:t>
            </w:r>
          </w:p>
        </w:tc>
        <w:tc>
          <w:tcPr/>
          <w:p>
            <w:pPr>
              <w:pStyle w:val="Compact"/>
            </w:pPr>
            <w:r>
              <w:t xml:space="preserve">music, band, edward, top, back, new, year, sale, one, group</w:t>
            </w:r>
          </w:p>
        </w:tc>
      </w:tr>
      <w:tr>
        <w:tc>
          <w:tcPr/>
          <w:p>
            <w:pPr>
              <w:pStyle w:val="Compact"/>
            </w:pPr>
            <w:r>
              <w:t xml:space="preserve">2</w:t>
            </w:r>
          </w:p>
        </w:tc>
        <w:tc>
          <w:tcPr/>
          <w:p>
            <w:pPr>
              <w:pStyle w:val="Compact"/>
            </w:pPr>
            <w:r>
              <w:t xml:space="preserve">game, time, people, brown, life, online, would, world, hour, gaming</w:t>
            </w:r>
          </w:p>
        </w:tc>
      </w:tr>
      <w:tr>
        <w:tc>
          <w:tcPr/>
          <w:p>
            <w:pPr>
              <w:pStyle w:val="Compact"/>
            </w:pPr>
            <w:r>
              <w:t xml:space="preserve">3</w:t>
            </w:r>
          </w:p>
        </w:tc>
        <w:tc>
          <w:tcPr/>
          <w:p>
            <w:pPr>
              <w:pStyle w:val="Compact"/>
            </w:pPr>
            <w:r>
              <w:t xml:space="preserve">test, thanou, greek, blunkett, year, also, game, visa, kenteris, new</w:t>
            </w:r>
          </w:p>
        </w:tc>
      </w:tr>
      <w:tr>
        <w:tc>
          <w:tcPr/>
          <w:p>
            <w:pPr>
              <w:pStyle w:val="Compact"/>
            </w:pPr>
            <w:r>
              <w:t xml:space="preserve">4</w:t>
            </w:r>
          </w:p>
        </w:tc>
        <w:tc>
          <w:tcPr/>
          <w:p>
            <w:pPr>
              <w:pStyle w:val="Compact"/>
            </w:pPr>
            <w:r>
              <w:t xml:space="preserve">world, time, year, champion, holmes, olympic, speed, european, best, championship</w:t>
            </w:r>
          </w:p>
        </w:tc>
      </w:tr>
      <w:tr>
        <w:tc>
          <w:tcPr/>
          <w:p>
            <w:pPr>
              <w:pStyle w:val="Compact"/>
            </w:pPr>
            <w:r>
              <w:t xml:space="preserve">5</w:t>
            </w:r>
          </w:p>
        </w:tc>
        <w:tc>
          <w:tcPr/>
          <w:p>
            <w:pPr>
              <w:pStyle w:val="Compact"/>
            </w:pPr>
            <w:r>
              <w:t xml:space="preserve">technology, software, patent, company, network, machine, computer, one, people, new</w:t>
            </w:r>
          </w:p>
        </w:tc>
      </w:tr>
      <w:tr>
        <w:tc>
          <w:tcPr/>
          <w:p>
            <w:pPr>
              <w:pStyle w:val="Compact"/>
            </w:pPr>
            <w:r>
              <w:t xml:space="preserve">6</w:t>
            </w:r>
          </w:p>
        </w:tc>
        <w:tc>
          <w:tcPr/>
          <w:p>
            <w:pPr>
              <w:pStyle w:val="Compact"/>
            </w:pPr>
            <w:r>
              <w:t xml:space="preserve">mobile, phone, people, also, woman, game, digital, handset, get, technology</w:t>
            </w:r>
          </w:p>
        </w:tc>
      </w:tr>
      <w:tr>
        <w:tc>
          <w:tcPr/>
          <w:p>
            <w:pPr>
              <w:pStyle w:val="Compact"/>
            </w:pPr>
            <w:r>
              <w:t xml:space="preserve">7</w:t>
            </w:r>
          </w:p>
        </w:tc>
        <w:tc>
          <w:tcPr/>
          <w:p>
            <w:pPr>
              <w:pStyle w:val="Compact"/>
            </w:pPr>
            <w:r>
              <w:t xml:space="preserve">year, company, market, share, firm, would, price, month, sale, also</w:t>
            </w:r>
          </w:p>
        </w:tc>
      </w:tr>
      <w:tr>
        <w:tc>
          <w:tcPr/>
          <w:p>
            <w:pPr>
              <w:pStyle w:val="Compact"/>
            </w:pPr>
            <w:r>
              <w:t xml:space="preserve">8</w:t>
            </w:r>
          </w:p>
        </w:tc>
        <w:tc>
          <w:tcPr/>
          <w:p>
            <w:pPr>
              <w:pStyle w:val="Compact"/>
            </w:pPr>
            <w:r>
              <w:t xml:space="preserve">would, election, government, labour, party, minister, blair, police, say, tory</w:t>
            </w:r>
          </w:p>
        </w:tc>
      </w:tr>
      <w:tr>
        <w:tc>
          <w:tcPr/>
          <w:p>
            <w:pPr>
              <w:pStyle w:val="Compact"/>
            </w:pPr>
            <w:r>
              <w:t xml:space="preserve">9</w:t>
            </w:r>
          </w:p>
        </w:tc>
        <w:tc>
          <w:tcPr/>
          <w:p>
            <w:pPr>
              <w:pStyle w:val="Compact"/>
            </w:pPr>
            <w:r>
              <w:t xml:space="preserve">england, club, win, game, year, time, first, player, play, final</w:t>
            </w:r>
          </w:p>
        </w:tc>
      </w:tr>
      <w:tr>
        <w:tc>
          <w:tcPr/>
          <w:p>
            <w:pPr>
              <w:pStyle w:val="Compact"/>
            </w:pPr>
            <w:r>
              <w:t xml:space="preserve">10</w:t>
            </w:r>
          </w:p>
        </w:tc>
        <w:tc>
          <w:tcPr/>
          <w:p>
            <w:pPr>
              <w:pStyle w:val="Compact"/>
            </w:pPr>
            <w:r>
              <w:t xml:space="preserve">film, year, best, award, show, star, also, new, time, west</w:t>
            </w:r>
          </w:p>
        </w:tc>
      </w:tr>
    </w:tbl>
    <w:bookmarkEnd w:id="38"/>
    <w:bookmarkStart w:id="42" w:name="interactive-visualisation"/>
    <w:p>
      <w:pPr>
        <w:pStyle w:val="Heading3"/>
      </w:pPr>
      <w:r>
        <w:t xml:space="preserve">4.1.3 Interactive Visualisation</w:t>
      </w:r>
    </w:p>
    <w:p>
      <w:pPr>
        <w:pStyle w:val="FirstParagraph"/>
      </w:pPr>
      <w:r>
        <w:t xml:space="preserve">An interactive pyLDAvis visualisation was generated (</w:t>
      </w:r>
      <w:r>
        <w:rPr>
          <w:rStyle w:val="VerbatimChar"/>
        </w:rPr>
        <w:t xml:space="preserve">outputs/figures/lda_vis.html</w:t>
      </w:r>
      <w:r>
        <w:t xml:space="preserve">), showing inter-topic distances and per-topic term saliency.</w:t>
      </w:r>
    </w:p>
    <w:p>
      <w:pPr>
        <w:pStyle w:val="BodyText"/>
      </w:pPr>
      <w:r>
        <w:rPr>
          <w:b/>
          <w:bCs/>
        </w:rPr>
        <w:t xml:space="preserve">Figure 5:</w:t>
      </w:r>
      <w:r>
        <w:t xml:space="preserve"> </w:t>
      </w:r>
      <w:r>
        <w:t xml:space="preserve">LDA topics mapped against the five categories</w:t>
      </w:r>
    </w:p>
    <w:p>
      <w:pPr>
        <w:pStyle w:val="CaptionedFigure"/>
      </w:pPr>
      <w:r>
        <w:drawing>
          <wp:inline>
            <wp:extent cx="5334000" cy="2189551"/>
            <wp:effectExtent b="0" l="0" r="0" t="0"/>
            <wp:docPr descr="LDA" title="" id="40" name="Picture"/>
            <a:graphic>
              <a:graphicData uri="http://schemas.openxmlformats.org/drawingml/2006/picture">
                <pic:pic>
                  <pic:nvPicPr>
                    <pic:cNvPr descr="figures/08_topic_per_category.png" id="41" name="Picture"/>
                    <pic:cNvPicPr>
                      <a:picLocks noChangeArrowheads="1" noChangeAspect="1"/>
                    </pic:cNvPicPr>
                  </pic:nvPicPr>
                  <pic:blipFill>
                    <a:blip r:embed="rId39"/>
                    <a:stretch>
                      <a:fillRect/>
                    </a:stretch>
                  </pic:blipFill>
                  <pic:spPr bwMode="auto">
                    <a:xfrm>
                      <a:off x="0" y="0"/>
                      <a:ext cx="5334000" cy="2189551"/>
                    </a:xfrm>
                    <a:prstGeom prst="rect">
                      <a:avLst/>
                    </a:prstGeom>
                    <a:noFill/>
                    <a:ln w="9525">
                      <a:noFill/>
                      <a:headEnd/>
                      <a:tailEnd/>
                    </a:ln>
                  </pic:spPr>
                </pic:pic>
              </a:graphicData>
            </a:graphic>
          </wp:inline>
        </w:drawing>
      </w:r>
    </w:p>
    <w:p>
      <w:pPr>
        <w:pStyle w:val="ImageCaption"/>
      </w:pPr>
      <w:r>
        <w:t xml:space="preserve">LDA</w:t>
      </w:r>
    </w:p>
    <w:bookmarkEnd w:id="42"/>
    <w:bookmarkStart w:id="43" w:name="discussion"/>
    <w:p>
      <w:pPr>
        <w:pStyle w:val="Heading3"/>
      </w:pPr>
      <w:r>
        <w:t xml:space="preserve">4.1.4 Discussion</w:t>
      </w:r>
    </w:p>
    <w:p>
      <w:pPr>
        <w:pStyle w:val="FirstParagraph"/>
      </w:pPr>
      <w:r>
        <w:t xml:space="preserve">With K = 10, LDA discovers roughly two topics per category rather than a clean one-to-one mapping, which is expected when the topic count exceeds the number of labelled categories. Several topics map cleanly: Topic 8 (election, government, labour, party, minister, blair) is unmistakably</w:t>
      </w:r>
      <w:r>
        <w:t xml:space="preserve"> </w:t>
      </w:r>
      <w:r>
        <w:rPr>
          <w:b/>
          <w:bCs/>
        </w:rPr>
        <w:t xml:space="preserve">politics</w:t>
      </w:r>
      <w:r>
        <w:t xml:space="preserve">; Topic 5 (technology, software, patent, network, computer) and Topic 6 (mobile, phone, digital, handset) together cover</w:t>
      </w:r>
      <w:r>
        <w:t xml:space="preserve"> </w:t>
      </w:r>
      <w:r>
        <w:rPr>
          <w:b/>
          <w:bCs/>
        </w:rPr>
        <w:t xml:space="preserve">tech</w:t>
      </w:r>
      <w:r>
        <w:t xml:space="preserve">, split into computing versus telecoms; Topic 10 (film, award, show, star) and Topic 1 (music, band) cover</w:t>
      </w:r>
      <w:r>
        <w:t xml:space="preserve"> </w:t>
      </w:r>
      <w:r>
        <w:rPr>
          <w:b/>
          <w:bCs/>
        </w:rPr>
        <w:t xml:space="preserve">entertainment</w:t>
      </w:r>
      <w:r>
        <w:t xml:space="preserve">; Topic 7 (company, market, share, price) is</w:t>
      </w:r>
      <w:r>
        <w:t xml:space="preserve"> </w:t>
      </w:r>
      <w:r>
        <w:rPr>
          <w:b/>
          <w:bCs/>
        </w:rPr>
        <w:t xml:space="preserve">business</w:t>
      </w:r>
      <w:r>
        <w:t xml:space="preserve">.</w:t>
      </w:r>
      <w:r>
        <w:t xml:space="preserve"> </w:t>
      </w:r>
      <w:r>
        <w:rPr>
          <w:b/>
          <w:bCs/>
        </w:rPr>
        <w:t xml:space="preserve">Sport</w:t>
      </w:r>
      <w:r>
        <w:t xml:space="preserve"> </w:t>
      </w:r>
      <w:r>
        <w:t xml:space="preserve">is the most fragmented, spread across Topic 4 (Olympic/athletics), Topic 9 (football/club), and Topic 3, which mixes the Kenteris–Thanou doping affair with visa/Blunkett political terms — the one genuinely impure topic, reflecting a real news story that straddled sport and politics. Overall the latent topics recover the known category structure well, with the finer splits corresponding to genuine sub-themes rather than noise.</w:t>
      </w:r>
    </w:p>
    <w:bookmarkEnd w:id="43"/>
    <w:bookmarkEnd w:id="44"/>
    <w:bookmarkStart w:id="75" w:name="supervised-learning"/>
    <w:p>
      <w:pPr>
        <w:pStyle w:val="Heading2"/>
      </w:pPr>
      <w:r>
        <w:t xml:space="preserve">4.2 Supervised Learning</w:t>
      </w:r>
    </w:p>
    <w:bookmarkStart w:id="65" w:name="task-1-text-classification"/>
    <w:p>
      <w:pPr>
        <w:pStyle w:val="Heading3"/>
      </w:pPr>
      <w:r>
        <w:t xml:space="preserve">4.2.1 Task 1 — Text Classification</w:t>
      </w:r>
    </w:p>
    <w:bookmarkStart w:id="45" w:name="traditional-ml-models"/>
    <w:p>
      <w:pPr>
        <w:pStyle w:val="Heading4"/>
      </w:pPr>
      <w:r>
        <w:t xml:space="preserve">Traditional ML Models</w:t>
      </w:r>
    </w:p>
    <w:p>
      <w:pPr>
        <w:pStyle w:val="FirstParagraph"/>
      </w:pPr>
      <w:r>
        <w:t xml:space="preserve">Three classifiers were trained using a scikit-learn</w:t>
      </w:r>
      <w:r>
        <w:t xml:space="preserve"> </w:t>
      </w:r>
      <w:r>
        <w:rPr>
          <w:rStyle w:val="VerbatimChar"/>
        </w:rPr>
        <w:t xml:space="preserve">Pipeline</w:t>
      </w:r>
      <w:r>
        <w:t xml:space="preserve"> </w:t>
      </w:r>
      <w:r>
        <w:t xml:space="preserve">(TF-IDF refitted on the training split only to prevent data leakage):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Accuracy</w:t>
            </w:r>
          </w:p>
        </w:tc>
        <w:tc>
          <w:tcPr/>
          <w:p>
            <w:pPr>
              <w:pStyle w:val="Compact"/>
            </w:pPr>
            <w:r>
              <w:t xml:space="preserve">Macro F1</w:t>
            </w:r>
          </w:p>
        </w:tc>
      </w:tr>
      <w:tr>
        <w:tc>
          <w:tcPr/>
          <w:p>
            <w:pPr>
              <w:pStyle w:val="Compact"/>
            </w:pPr>
            <w:r>
              <w:t xml:space="preserve">Linear SVM</w:t>
            </w:r>
          </w:p>
        </w:tc>
        <w:tc>
          <w:tcPr/>
          <w:p>
            <w:pPr>
              <w:pStyle w:val="Compact"/>
            </w:pPr>
            <w:r>
              <w:rPr>
                <w:b/>
                <w:bCs/>
              </w:rPr>
              <w:t xml:space="preserve">97.00%</w:t>
            </w:r>
          </w:p>
        </w:tc>
        <w:tc>
          <w:tcPr/>
          <w:p>
            <w:pPr>
              <w:pStyle w:val="Compact"/>
            </w:pPr>
            <w:r>
              <w:rPr>
                <w:b/>
                <w:bCs/>
              </w:rPr>
              <w:t xml:space="preserve">0.969</w:t>
            </w:r>
          </w:p>
        </w:tc>
      </w:tr>
      <w:tr>
        <w:tc>
          <w:tcPr/>
          <w:p>
            <w:pPr>
              <w:pStyle w:val="Compact"/>
            </w:pPr>
            <w:r>
              <w:t xml:space="preserve">Logistic Regression</w:t>
            </w:r>
          </w:p>
        </w:tc>
        <w:tc>
          <w:tcPr/>
          <w:p>
            <w:pPr>
              <w:pStyle w:val="Compact"/>
            </w:pPr>
            <w:r>
              <w:t xml:space="preserve">96.78%</w:t>
            </w:r>
          </w:p>
        </w:tc>
        <w:tc>
          <w:tcPr/>
          <w:p>
            <w:pPr>
              <w:pStyle w:val="Compact"/>
            </w:pPr>
            <w:r>
              <w:t xml:space="preserve">0.967</w:t>
            </w:r>
          </w:p>
        </w:tc>
      </w:tr>
      <w:tr>
        <w:tc>
          <w:tcPr/>
          <w:p>
            <w:pPr>
              <w:pStyle w:val="Compact"/>
            </w:pPr>
            <w:r>
              <w:t xml:space="preserve">Naive Bayes</w:t>
            </w:r>
          </w:p>
        </w:tc>
        <w:tc>
          <w:tcPr/>
          <w:p>
            <w:pPr>
              <w:pStyle w:val="Compact"/>
            </w:pPr>
            <w:r>
              <w:t xml:space="preserve">96.46%</w:t>
            </w:r>
          </w:p>
        </w:tc>
        <w:tc>
          <w:tcPr/>
          <w:p>
            <w:pPr>
              <w:pStyle w:val="Compact"/>
            </w:pPr>
            <w:r>
              <w:t xml:space="preserve">0.963</w:t>
            </w:r>
          </w:p>
        </w:tc>
      </w:tr>
    </w:tbl>
    <w:p>
      <w:pPr>
        <w:pStyle w:val="BodyText"/>
      </w:pPr>
      <w:r>
        <w:t xml:space="preserve">Five-fold stratified cross-validation on the training split was used for hyperparameter selection; the accuracy and macro-F1 figures above are the final scores on the held-out 932-article test set.</w:t>
      </w:r>
    </w:p>
    <w:p>
      <w:pPr>
        <w:pStyle w:val="BodyText"/>
      </w:pPr>
      <w:r>
        <w:t xml:space="preserve">The Linear SVM edges out Logistic Regression and Naive Bayes (97.00% vs 96.78% vs 96.46% accuracy; macro F1 0.969 / 0.967 / 0.963). In the high-dimensional, sparse TF-IDF feature space the five categories are close to linearly separable, and the SVM’s max-margin objective finds the boundary that generalises best under those conditions. Logistic Regression optimises a very similar linear boundary and trails only marginally, while Naive Bayes is held back by its feature-independence assumption, which is violated by the strong word co-occurrence patterns in news text — though it remains efficient and surprisingly competitive. The small spread across all three confirms that for lexically distinct categories a well-regularised linear classifier over TF-IDF is already near-ceiling.</w:t>
      </w:r>
    </w:p>
    <w:bookmarkEnd w:id="45"/>
    <w:bookmarkStart w:id="52" w:name="deep-learning-bidirectional-lstm"/>
    <w:p>
      <w:pPr>
        <w:pStyle w:val="Heading4"/>
      </w:pPr>
      <w:r>
        <w:t xml:space="preserve">Deep Learning — Bidirectional LSTM</w:t>
      </w:r>
    </w:p>
    <w:p>
      <w:pPr>
        <w:pStyle w:val="FirstParagraph"/>
      </w:pPr>
      <w:r>
        <w:t xml:space="preserve">A two-layer Bidirectional LSTM was trained from scratch on lemmatised token sequences (vocabulary size = 15,000, max sequence length = 200 tokens, embedding dimension = 128, hidden dimension = 256). The vocabulary was built from the training split only — the same leakage discipline applied to TF-IDF. Training used the Adam optimiser (lr = 1e-3) with</w:t>
      </w:r>
      <w:r>
        <w:t xml:space="preserve"> </w:t>
      </w:r>
      <w:r>
        <w:rPr>
          <w:rStyle w:val="VerbatimChar"/>
        </w:rPr>
        <w:t xml:space="preserve">ReduceLROnPlateau</w:t>
      </w:r>
      <w:r>
        <w:t xml:space="preserve"> </w:t>
      </w:r>
      <w:r>
        <w:t xml:space="preserve">scheduling and gradient clipping over 8 epochs.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Test Accuracy</w:t>
            </w:r>
          </w:p>
        </w:tc>
        <w:tc>
          <w:tcPr/>
          <w:p>
            <w:pPr>
              <w:pStyle w:val="Compact"/>
            </w:pPr>
            <w:r>
              <w:t xml:space="preserve">81.55%</w:t>
            </w:r>
          </w:p>
        </w:tc>
      </w:tr>
      <w:tr>
        <w:tc>
          <w:tcPr/>
          <w:p>
            <w:pPr>
              <w:pStyle w:val="Compact"/>
            </w:pPr>
            <w:r>
              <w:t xml:space="preserve">Macro F1</w:t>
            </w:r>
          </w:p>
        </w:tc>
        <w:tc>
          <w:tcPr/>
          <w:p>
            <w:pPr>
              <w:pStyle w:val="Compact"/>
            </w:pPr>
            <w:r>
              <w:t xml:space="preserve">0.810</w:t>
            </w:r>
          </w:p>
        </w:tc>
      </w:tr>
    </w:tbl>
    <w:p>
      <w:pPr>
        <w:pStyle w:val="BodyText"/>
      </w:pPr>
      <w:r>
        <w:rPr>
          <w:b/>
          <w:bCs/>
        </w:rPr>
        <w:t xml:space="preserve">Figure 6:</w:t>
      </w:r>
      <w:r>
        <w:t xml:space="preserve"> </w:t>
      </w:r>
      <w:r>
        <w:t xml:space="preserve">BiLSTM training curves</w:t>
      </w:r>
    </w:p>
    <w:p>
      <w:pPr>
        <w:pStyle w:val="CaptionedFigure"/>
      </w:pPr>
      <w:r>
        <w:drawing>
          <wp:inline>
            <wp:extent cx="5334000" cy="1749342"/>
            <wp:effectExtent b="0" l="0" r="0" t="0"/>
            <wp:docPr descr="LSTM curves" title="" id="47" name="Picture"/>
            <a:graphic>
              <a:graphicData uri="http://schemas.openxmlformats.org/drawingml/2006/picture">
                <pic:pic>
                  <pic:nvPicPr>
                    <pic:cNvPr descr="figures/14_lstm_training_curves.png" id="48" name="Picture"/>
                    <pic:cNvPicPr>
                      <a:picLocks noChangeArrowheads="1" noChangeAspect="1"/>
                    </pic:cNvPicPr>
                  </pic:nvPicPr>
                  <pic:blipFill>
                    <a:blip r:embed="rId46"/>
                    <a:stretch>
                      <a:fillRect/>
                    </a:stretch>
                  </pic:blipFill>
                  <pic:spPr bwMode="auto">
                    <a:xfrm>
                      <a:off x="0" y="0"/>
                      <a:ext cx="5334000" cy="1749342"/>
                    </a:xfrm>
                    <a:prstGeom prst="rect">
                      <a:avLst/>
                    </a:prstGeom>
                    <a:noFill/>
                    <a:ln w="9525">
                      <a:noFill/>
                      <a:headEnd/>
                      <a:tailEnd/>
                    </a:ln>
                  </pic:spPr>
                </pic:pic>
              </a:graphicData>
            </a:graphic>
          </wp:inline>
        </w:drawing>
      </w:r>
    </w:p>
    <w:p>
      <w:pPr>
        <w:pStyle w:val="ImageCaption"/>
      </w:pPr>
      <w:r>
        <w:t xml:space="preserve">LSTM curves</w:t>
      </w:r>
    </w:p>
    <w:p>
      <w:pPr>
        <w:pStyle w:val="BodyText"/>
      </w:pPr>
      <w:r>
        <w:rPr>
          <w:b/>
          <w:bCs/>
        </w:rPr>
        <w:t xml:space="preserve">Figure 7:</w:t>
      </w:r>
      <w:r>
        <w:t xml:space="preserve"> </w:t>
      </w:r>
      <w:r>
        <w:t xml:space="preserve">BiLSTM confusion matrix</w:t>
      </w:r>
    </w:p>
    <w:p>
      <w:pPr>
        <w:pStyle w:val="CaptionedFigure"/>
      </w:pPr>
      <w:r>
        <w:drawing>
          <wp:inline>
            <wp:extent cx="4664208" cy="4510527"/>
            <wp:effectExtent b="0" l="0" r="0" t="0"/>
            <wp:docPr descr="LSTM CM" title="" id="50" name="Picture"/>
            <a:graphic>
              <a:graphicData uri="http://schemas.openxmlformats.org/drawingml/2006/picture">
                <pic:pic>
                  <pic:nvPicPr>
                    <pic:cNvPr descr="figures/15_lstm_confusion_matrix.png" id="51" name="Picture"/>
                    <pic:cNvPicPr>
                      <a:picLocks noChangeArrowheads="1" noChangeAspect="1"/>
                    </pic:cNvPicPr>
                  </pic:nvPicPr>
                  <pic:blipFill>
                    <a:blip r:embed="rId49"/>
                    <a:stretch>
                      <a:fillRect/>
                    </a:stretch>
                  </pic:blipFill>
                  <pic:spPr bwMode="auto">
                    <a:xfrm>
                      <a:off x="0" y="0"/>
                      <a:ext cx="4664208" cy="4510527"/>
                    </a:xfrm>
                    <a:prstGeom prst="rect">
                      <a:avLst/>
                    </a:prstGeom>
                    <a:noFill/>
                    <a:ln w="9525">
                      <a:noFill/>
                      <a:headEnd/>
                      <a:tailEnd/>
                    </a:ln>
                  </pic:spPr>
                </pic:pic>
              </a:graphicData>
            </a:graphic>
          </wp:inline>
        </w:drawing>
      </w:r>
    </w:p>
    <w:p>
      <w:pPr>
        <w:pStyle w:val="ImageCaption"/>
      </w:pPr>
      <w:r>
        <w:t xml:space="preserve">LSTM CM</w:t>
      </w:r>
    </w:p>
    <w:p>
      <w:pPr>
        <w:pStyle w:val="BodyText"/>
      </w:pPr>
      <w:r>
        <w:t xml:space="preserve">The confusion matrix (Figure 7) shows the BiLSTM’s errors concentrated at the</w:t>
      </w:r>
      <w:r>
        <w:t xml:space="preserve"> </w:t>
      </w:r>
      <w:r>
        <w:rPr>
          <w:b/>
          <w:bCs/>
        </w:rPr>
        <w:t xml:space="preserve">business/politics boundary</w:t>
      </w:r>
      <w:r>
        <w:t xml:space="preserve"> </w:t>
      </w:r>
      <w:r>
        <w:t xml:space="preserve">— the same overlap visible in the t-SNE projection (Figure 1) — where shared economic and policy vocabulary makes the two classes hardest to separate. That a from-scratch model struggles most exactly where the representation space itself is most entangled is consistent with the pre-training argument developed below.</w:t>
      </w:r>
    </w:p>
    <w:bookmarkEnd w:id="52"/>
    <w:bookmarkStart w:id="56" w:name="deep-learning-distilbert-fine-tuned"/>
    <w:p>
      <w:pPr>
        <w:pStyle w:val="Heading4"/>
      </w:pPr>
      <w:r>
        <w:t xml:space="preserve">Deep Learning — DistilBERT (Fine-tuned)</w:t>
      </w:r>
    </w:p>
    <w:p>
      <w:pPr>
        <w:pStyle w:val="FirstParagraph"/>
      </w:pPr>
      <w:r>
        <w:t xml:space="preserve">DistilBERT (</w:t>
      </w:r>
      <w:r>
        <w:rPr>
          <w:rStyle w:val="VerbatimChar"/>
        </w:rPr>
        <w:t xml:space="preserve">distilbert-base-uncased</w:t>
      </w:r>
      <w:r>
        <w:t xml:space="preserve">) was fine-tuned for sequence classification using the HuggingFace</w:t>
      </w:r>
      <w:r>
        <w:t xml:space="preserve"> </w:t>
      </w:r>
      <w:r>
        <w:rPr>
          <w:rStyle w:val="VerbatimChar"/>
        </w:rPr>
        <w:t xml:space="preserve">Trainer</w:t>
      </w:r>
      <w:r>
        <w:t xml:space="preserve"> </w:t>
      </w:r>
      <w:r>
        <w:t xml:space="preserve">API. DistilBERT is a distilled variant of BERT (Devlin et al., 2019) — roughly 40% smaller and 60% faster while retaining about 97% of BERT’s performance (Sanh et al., 2019) — which keeps fine-tuning feasible on consumer hardware. The model was trained on the original (unprocessed) text, as BERT’s subword tokeniser performs better on natural language than on lemmatised input. Training used 4 epochs, batch size 16, and learning rate 2e-5 with linear warmup.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Test Accuracy</w:t>
            </w:r>
          </w:p>
        </w:tc>
        <w:tc>
          <w:tcPr/>
          <w:p>
            <w:pPr>
              <w:pStyle w:val="Compact"/>
            </w:pPr>
            <w:r>
              <w:rPr>
                <w:b/>
                <w:bCs/>
              </w:rPr>
              <w:t xml:space="preserve">97.21%</w:t>
            </w:r>
          </w:p>
        </w:tc>
      </w:tr>
      <w:tr>
        <w:tc>
          <w:tcPr/>
          <w:p>
            <w:pPr>
              <w:pStyle w:val="Compact"/>
            </w:pPr>
            <w:r>
              <w:t xml:space="preserve">Macro F1</w:t>
            </w:r>
          </w:p>
        </w:tc>
        <w:tc>
          <w:tcPr/>
          <w:p>
            <w:pPr>
              <w:pStyle w:val="Compact"/>
            </w:pPr>
            <w:r>
              <w:rPr>
                <w:b/>
                <w:bCs/>
              </w:rPr>
              <w:t xml:space="preserve">0.971</w:t>
            </w:r>
          </w:p>
        </w:tc>
      </w:tr>
    </w:tbl>
    <w:p>
      <w:pPr>
        <w:pStyle w:val="BodyText"/>
      </w:pPr>
      <w:r>
        <w:rPr>
          <w:b/>
          <w:bCs/>
        </w:rPr>
        <w:t xml:space="preserve">Figure 8:</w:t>
      </w:r>
      <w:r>
        <w:t xml:space="preserve"> </w:t>
      </w:r>
      <w:r>
        <w:t xml:space="preserve">DistilBERT confusion matrix</w:t>
      </w:r>
    </w:p>
    <w:p>
      <w:pPr>
        <w:pStyle w:val="CaptionedFigure"/>
      </w:pPr>
      <w:r>
        <w:drawing>
          <wp:inline>
            <wp:extent cx="4664208" cy="4510527"/>
            <wp:effectExtent b="0" l="0" r="0" t="0"/>
            <wp:docPr descr="BERT CM" title="" id="54" name="Picture"/>
            <a:graphic>
              <a:graphicData uri="http://schemas.openxmlformats.org/drawingml/2006/picture">
                <pic:pic>
                  <pic:nvPicPr>
                    <pic:cNvPr descr="figures/16_distilbert_confusion_matrix.png" id="55" name="Picture"/>
                    <pic:cNvPicPr>
                      <a:picLocks noChangeArrowheads="1" noChangeAspect="1"/>
                    </pic:cNvPicPr>
                  </pic:nvPicPr>
                  <pic:blipFill>
                    <a:blip r:embed="rId53"/>
                    <a:stretch>
                      <a:fillRect/>
                    </a:stretch>
                  </pic:blipFill>
                  <pic:spPr bwMode="auto">
                    <a:xfrm>
                      <a:off x="0" y="0"/>
                      <a:ext cx="4664208" cy="4510527"/>
                    </a:xfrm>
                    <a:prstGeom prst="rect">
                      <a:avLst/>
                    </a:prstGeom>
                    <a:noFill/>
                    <a:ln w="9525">
                      <a:noFill/>
                      <a:headEnd/>
                      <a:tailEnd/>
                    </a:ln>
                  </pic:spPr>
                </pic:pic>
              </a:graphicData>
            </a:graphic>
          </wp:inline>
        </w:drawing>
      </w:r>
    </w:p>
    <w:p>
      <w:pPr>
        <w:pStyle w:val="ImageCaption"/>
      </w:pPr>
      <w:r>
        <w:t xml:space="preserve">BERT CM</w:t>
      </w:r>
    </w:p>
    <w:p>
      <w:pPr>
        <w:pStyle w:val="BodyText"/>
      </w:pPr>
      <w:r>
        <w:t xml:space="preserve">DistilBERT’s residual errors (Figure 8) fall almost entirely on the same handful of genuinely ambiguous, cross-domain articles that every classifier misses — for example business stories with heavy political framing — rather than on any systematic class weakness, which is what a ~97% ceiling imposed by label ambiguity looks like in practice.</w:t>
      </w:r>
    </w:p>
    <w:bookmarkEnd w:id="56"/>
    <w:bookmarkStart w:id="60" w:name="model-comparison"/>
    <w:p>
      <w:pPr>
        <w:pStyle w:val="Heading4"/>
      </w:pPr>
      <w:r>
        <w:t xml:space="preserve">Model Comparison</w:t>
      </w:r>
    </w:p>
    <w:p>
      <w:pPr>
        <w:pStyle w:val="FirstParagraph"/>
      </w:pPr>
      <w:r>
        <w:rPr>
          <w:b/>
          <w:bCs/>
        </w:rPr>
        <w:t xml:space="preserve">Figure 9:</w:t>
      </w:r>
      <w:r>
        <w:t xml:space="preserve"> </w:t>
      </w:r>
      <w:r>
        <w:t xml:space="preserve">Accuracy and Macro F1 across all models</w:t>
      </w:r>
    </w:p>
    <w:p>
      <w:pPr>
        <w:pStyle w:val="CaptionedFigure"/>
      </w:pPr>
      <w:r>
        <w:drawing>
          <wp:inline>
            <wp:extent cx="5334000" cy="2402960"/>
            <wp:effectExtent b="0" l="0" r="0" t="0"/>
            <wp:docPr descr="Comparison" title="" id="58" name="Picture"/>
            <a:graphic>
              <a:graphicData uri="http://schemas.openxmlformats.org/drawingml/2006/picture">
                <pic:pic>
                  <pic:nvPicPr>
                    <pic:cNvPr descr="figures/17_model_comparison.png" id="59" name="Picture"/>
                    <pic:cNvPicPr>
                      <a:picLocks noChangeArrowheads="1" noChangeAspect="1"/>
                    </pic:cNvPicPr>
                  </pic:nvPicPr>
                  <pic:blipFill>
                    <a:blip r:embed="rId57"/>
                    <a:stretch>
                      <a:fillRect/>
                    </a:stretch>
                  </pic:blipFill>
                  <pic:spPr bwMode="auto">
                    <a:xfrm>
                      <a:off x="0" y="0"/>
                      <a:ext cx="5334000" cy="2402960"/>
                    </a:xfrm>
                    <a:prstGeom prst="rect">
                      <a:avLst/>
                    </a:prstGeom>
                    <a:noFill/>
                    <a:ln w="9525">
                      <a:noFill/>
                      <a:headEnd/>
                      <a:tailEnd/>
                    </a:ln>
                  </pic:spPr>
                </pic:pic>
              </a:graphicData>
            </a:graphic>
          </wp:inline>
        </w:drawing>
      </w:r>
    </w:p>
    <w:p>
      <w:pPr>
        <w:pStyle w:val="ImageCaption"/>
      </w:pPr>
      <w:r>
        <w:t xml:space="preserve">Comparison</w:t>
      </w:r>
    </w:p>
    <w:tbl>
      <w:tblPr>
        <w:tblStyle w:val="Table"/>
        <w:tblW w:type="pct" w:w="5000"/>
        <w:tblLayout w:type="fixed"/>
        <w:tblLook w:firstRow="1" w:lastRow="0" w:firstColumn="0" w:lastColumn="0" w:noHBand="0" w:noVBand="0" w:val="0020"/>
      </w:tblPr>
      <w:tblGrid>
        <w:gridCol w:w="3443"/>
        <w:gridCol w:w="2066"/>
        <w:gridCol w:w="1262"/>
        <w:gridCol w:w="1147"/>
      </w:tblGrid>
      <w:tr>
        <w:trPr>
          <w:tblHeader w:val="on"/>
        </w:trPr>
        <w:tc>
          <w:tcPr/>
          <w:p>
            <w:pPr>
              <w:pStyle w:val="Compact"/>
            </w:pPr>
            <w:r>
              <w:t xml:space="preserve">Model</w:t>
            </w:r>
          </w:p>
        </w:tc>
        <w:tc>
          <w:tcPr/>
          <w:p>
            <w:pPr>
              <w:pStyle w:val="Compact"/>
            </w:pPr>
            <w:r>
              <w:t xml:space="preserve">Type</w:t>
            </w:r>
          </w:p>
        </w:tc>
        <w:tc>
          <w:tcPr/>
          <w:p>
            <w:pPr>
              <w:pStyle w:val="Compact"/>
            </w:pPr>
            <w:r>
              <w:t xml:space="preserve">Accuracy</w:t>
            </w:r>
          </w:p>
        </w:tc>
        <w:tc>
          <w:tcPr/>
          <w:p>
            <w:pPr>
              <w:pStyle w:val="Compact"/>
            </w:pPr>
            <w:r>
              <w:t xml:space="preserve">Macro F1</w:t>
            </w:r>
          </w:p>
        </w:tc>
      </w:tr>
      <w:tr>
        <w:tc>
          <w:tcPr/>
          <w:p>
            <w:pPr>
              <w:pStyle w:val="Compact"/>
            </w:pPr>
            <w:r>
              <w:t xml:space="preserve">DistilBERT (fine-tuned)</w:t>
            </w:r>
          </w:p>
        </w:tc>
        <w:tc>
          <w:tcPr/>
          <w:p>
            <w:pPr>
              <w:pStyle w:val="Compact"/>
            </w:pPr>
            <w:r>
              <w:t xml:space="preserve">Deep Learning</w:t>
            </w:r>
          </w:p>
        </w:tc>
        <w:tc>
          <w:tcPr/>
          <w:p>
            <w:pPr>
              <w:pStyle w:val="Compact"/>
            </w:pPr>
            <w:r>
              <w:rPr>
                <w:b/>
                <w:bCs/>
              </w:rPr>
              <w:t xml:space="preserve">97.21%</w:t>
            </w:r>
          </w:p>
        </w:tc>
        <w:tc>
          <w:tcPr/>
          <w:p>
            <w:pPr>
              <w:pStyle w:val="Compact"/>
            </w:pPr>
            <w:r>
              <w:rPr>
                <w:b/>
                <w:bCs/>
              </w:rPr>
              <w:t xml:space="preserve">0.971</w:t>
            </w:r>
          </w:p>
        </w:tc>
      </w:tr>
      <w:tr>
        <w:tc>
          <w:tcPr/>
          <w:p>
            <w:pPr>
              <w:pStyle w:val="Compact"/>
            </w:pPr>
            <w:r>
              <w:t xml:space="preserve">Linear SVM</w:t>
            </w:r>
          </w:p>
        </w:tc>
        <w:tc>
          <w:tcPr/>
          <w:p>
            <w:pPr>
              <w:pStyle w:val="Compact"/>
            </w:pPr>
            <w:r>
              <w:t xml:space="preserve">Traditional ML</w:t>
            </w:r>
          </w:p>
        </w:tc>
        <w:tc>
          <w:tcPr/>
          <w:p>
            <w:pPr>
              <w:pStyle w:val="Compact"/>
            </w:pPr>
            <w:r>
              <w:t xml:space="preserve">97.00%</w:t>
            </w:r>
          </w:p>
        </w:tc>
        <w:tc>
          <w:tcPr/>
          <w:p>
            <w:pPr>
              <w:pStyle w:val="Compact"/>
            </w:pPr>
            <w:r>
              <w:t xml:space="preserve">0.969</w:t>
            </w:r>
          </w:p>
        </w:tc>
      </w:tr>
      <w:tr>
        <w:tc>
          <w:tcPr/>
          <w:p>
            <w:pPr>
              <w:pStyle w:val="Compact"/>
            </w:pPr>
            <w:r>
              <w:t xml:space="preserve">Logistic Regression</w:t>
            </w:r>
          </w:p>
        </w:tc>
        <w:tc>
          <w:tcPr/>
          <w:p>
            <w:pPr>
              <w:pStyle w:val="Compact"/>
            </w:pPr>
            <w:r>
              <w:t xml:space="preserve">Traditional ML</w:t>
            </w:r>
          </w:p>
        </w:tc>
        <w:tc>
          <w:tcPr/>
          <w:p>
            <w:pPr>
              <w:pStyle w:val="Compact"/>
            </w:pPr>
            <w:r>
              <w:t xml:space="preserve">96.78%</w:t>
            </w:r>
          </w:p>
        </w:tc>
        <w:tc>
          <w:tcPr/>
          <w:p>
            <w:pPr>
              <w:pStyle w:val="Compact"/>
            </w:pPr>
            <w:r>
              <w:t xml:space="preserve">0.967</w:t>
            </w:r>
          </w:p>
        </w:tc>
      </w:tr>
      <w:tr>
        <w:tc>
          <w:tcPr/>
          <w:p>
            <w:pPr>
              <w:pStyle w:val="Compact"/>
            </w:pPr>
            <w:r>
              <w:t xml:space="preserve">Naive Bayes</w:t>
            </w:r>
          </w:p>
        </w:tc>
        <w:tc>
          <w:tcPr/>
          <w:p>
            <w:pPr>
              <w:pStyle w:val="Compact"/>
            </w:pPr>
            <w:r>
              <w:t xml:space="preserve">Traditional ML</w:t>
            </w:r>
          </w:p>
        </w:tc>
        <w:tc>
          <w:tcPr/>
          <w:p>
            <w:pPr>
              <w:pStyle w:val="Compact"/>
            </w:pPr>
            <w:r>
              <w:t xml:space="preserve">96.46%</w:t>
            </w:r>
          </w:p>
        </w:tc>
        <w:tc>
          <w:tcPr/>
          <w:p>
            <w:pPr>
              <w:pStyle w:val="Compact"/>
            </w:pPr>
            <w:r>
              <w:t xml:space="preserve">0.963</w:t>
            </w:r>
          </w:p>
        </w:tc>
      </w:tr>
      <w:tr>
        <w:tc>
          <w:tcPr/>
          <w:p>
            <w:pPr>
              <w:pStyle w:val="Compact"/>
            </w:pPr>
            <w:r>
              <w:t xml:space="preserve">BiLSTM (random embeddings)</w:t>
            </w:r>
          </w:p>
        </w:tc>
        <w:tc>
          <w:tcPr/>
          <w:p>
            <w:pPr>
              <w:pStyle w:val="Compact"/>
            </w:pPr>
            <w:r>
              <w:t xml:space="preserve">Deep Learning</w:t>
            </w:r>
          </w:p>
        </w:tc>
        <w:tc>
          <w:tcPr/>
          <w:p>
            <w:pPr>
              <w:pStyle w:val="Compact"/>
            </w:pPr>
            <w:r>
              <w:t xml:space="preserve">81.55%</w:t>
            </w:r>
          </w:p>
        </w:tc>
        <w:tc>
          <w:tcPr/>
          <w:p>
            <w:pPr>
              <w:pStyle w:val="Compact"/>
            </w:pPr>
            <w:r>
              <w:t xml:space="preserve">0.810</w:t>
            </w:r>
          </w:p>
        </w:tc>
      </w:tr>
    </w:tbl>
    <w:p>
      <w:pPr>
        <w:pStyle w:val="BodyText"/>
      </w:pPr>
      <w:r>
        <w:t xml:space="preserve">DistilBERT benefits from transfer learning: it has already learned grammatical structure and semantic relationships from a massive pre-training corpus, and fine-tuning only adapts that existing knowledge to the BBC dataset. The BiLSTM, by contrast, begins with randomly initialised embeddings and must learn language representations from scratch on only a few thousand articles — too little data to generalise well.</w:t>
      </w:r>
    </w:p>
    <w:p>
      <w:pPr>
        <w:pStyle w:val="BodyText"/>
      </w:pPr>
      <w:r>
        <w:rPr>
          <w:b/>
          <w:bCs/>
        </w:rPr>
        <w:t xml:space="preserve">Key finding.</w:t>
      </w:r>
      <w:r>
        <w:t xml:space="preserve"> </w:t>
      </w:r>
      <w:r>
        <w:t xml:space="preserve">A fine-tuned transformer (DistilBERT) achieves the best results, but only marginally ahead of well-tuned classical methods — its 0.21-point accuracy lead over the Linear SVM is roughly two articles out of 932. The more informative result is the 15.7-point gap between the two</w:t>
      </w:r>
      <w:r>
        <w:t xml:space="preserve"> </w:t>
      </w:r>
      <w:r>
        <w:rPr>
          <w:i/>
          <w:iCs/>
        </w:rPr>
        <w:t xml:space="preserve">deep</w:t>
      </w:r>
      <w:r>
        <w:t xml:space="preserve"> </w:t>
      </w:r>
      <w:r>
        <w:t xml:space="preserve">models: the from-scratch BiLSTM is beaten by every classical method, while a bag-of-words SVM ties a transformer. This isolates</w:t>
      </w:r>
      <w:r>
        <w:t xml:space="preserve"> </w:t>
      </w:r>
      <w:r>
        <w:rPr>
          <w:b/>
          <w:bCs/>
        </w:rPr>
        <w:t xml:space="preserve">pre-training, not architectural depth</w:t>
      </w:r>
      <w:r>
        <w:t xml:space="preserve">, as the variable driving performance. Where pre-trained knowledge is unavailable, a well-tuned classical model over good features is not a fallback but a competitive choice.</w:t>
      </w:r>
    </w:p>
    <w:bookmarkEnd w:id="60"/>
    <w:bookmarkStart w:id="64" w:name="xai-lime"/>
    <w:p>
      <w:pPr>
        <w:pStyle w:val="Heading4"/>
      </w:pPr>
      <w:r>
        <w:t xml:space="preserve">XAI — LIME</w:t>
      </w:r>
    </w:p>
    <w:p>
      <w:pPr>
        <w:pStyle w:val="FirstParagraph"/>
      </w:pPr>
      <w:r>
        <w:t xml:space="preserve">We applied</w:t>
      </w:r>
      <w:r>
        <w:t xml:space="preserve"> </w:t>
      </w:r>
      <w:r>
        <w:rPr>
          <w:b/>
          <w:bCs/>
        </w:rPr>
        <w:t xml:space="preserve">LIME</w:t>
      </w:r>
      <w:r>
        <w:t xml:space="preserve"> </w:t>
      </w:r>
      <w:r>
        <w:t xml:space="preserve">(Ribeiro et al., 2016) to explain an individual prediction by perturbing the input — repeatedly removing random word subsets — and fitting a local linear surrogate to the resulting probability changes. On a correctly classified sport article, the words pushing most strongly toward the</w:t>
      </w:r>
      <w:r>
        <w:t xml:space="preserve"> </w:t>
      </w:r>
      <w:r>
        <w:rPr>
          <w:b/>
          <w:bCs/>
        </w:rPr>
        <w:t xml:space="preserve">sport</w:t>
      </w:r>
      <w:r>
        <w:t xml:space="preserve"> </w:t>
      </w:r>
      <w:r>
        <w:t xml:space="preserve">label were highly intuitive:</w:t>
      </w:r>
      <w:r>
        <w:t xml:space="preserve"> </w:t>
      </w:r>
      <w:r>
        <w:rPr>
          <w:i/>
          <w:iCs/>
        </w:rPr>
        <w:t xml:space="preserve">match</w:t>
      </w:r>
      <w:r>
        <w:t xml:space="preserve"> </w:t>
      </w:r>
      <w:r>
        <w:t xml:space="preserve">(+0.123),</w:t>
      </w:r>
      <w:r>
        <w:t xml:space="preserve"> </w:t>
      </w:r>
      <w:r>
        <w:rPr>
          <w:i/>
          <w:iCs/>
        </w:rPr>
        <w:t xml:space="preserve">rugby</w:t>
      </w:r>
      <w:r>
        <w:t xml:space="preserve"> </w:t>
      </w:r>
      <w:r>
        <w:t xml:space="preserve">(+0.117),</w:t>
      </w:r>
      <w:r>
        <w:t xml:space="preserve"> </w:t>
      </w:r>
      <w:r>
        <w:rPr>
          <w:i/>
          <w:iCs/>
        </w:rPr>
        <w:t xml:space="preserve">team</w:t>
      </w:r>
      <w:r>
        <w:t xml:space="preserve"> </w:t>
      </w:r>
      <w:r>
        <w:t xml:space="preserve">(+0.032),</w:t>
      </w:r>
      <w:r>
        <w:t xml:space="preserve"> </w:t>
      </w:r>
      <w:r>
        <w:rPr>
          <w:i/>
          <w:iCs/>
        </w:rPr>
        <w:t xml:space="preserve">olympic</w:t>
      </w:r>
      <w:r>
        <w:t xml:space="preserve"> </w:t>
      </w:r>
      <w:r>
        <w:t xml:space="preserve">(+0.023),</w:t>
      </w:r>
      <w:r>
        <w:t xml:space="preserve"> </w:t>
      </w:r>
      <w:r>
        <w:rPr>
          <w:i/>
          <w:iCs/>
        </w:rPr>
        <w:t xml:space="preserve">player</w:t>
      </w:r>
      <w:r>
        <w:t xml:space="preserve"> </w:t>
      </w:r>
      <w:r>
        <w:t xml:space="preserve">(+0.020),</w:t>
      </w:r>
      <w:r>
        <w:t xml:space="preserve"> </w:t>
      </w:r>
      <w:r>
        <w:rPr>
          <w:i/>
          <w:iCs/>
        </w:rPr>
        <w:t xml:space="preserve">lion</w:t>
      </w:r>
      <w:r>
        <w:t xml:space="preserve"> </w:t>
      </w:r>
      <w:r>
        <w:t xml:space="preserve">(+0.020, the British &amp; Irish Lions),</w:t>
      </w:r>
      <w:r>
        <w:t xml:space="preserve"> </w:t>
      </w:r>
      <w:r>
        <w:rPr>
          <w:i/>
          <w:iCs/>
        </w:rPr>
        <w:t xml:space="preserve">game</w:t>
      </w:r>
      <w:r>
        <w:t xml:space="preserve"> </w:t>
      </w:r>
      <w:r>
        <w:t xml:space="preserve">(+0.019),</w:t>
      </w:r>
      <w:r>
        <w:t xml:space="preserve"> </w:t>
      </w:r>
      <w:r>
        <w:rPr>
          <w:i/>
          <w:iCs/>
        </w:rPr>
        <w:t xml:space="preserve">coach</w:t>
      </w:r>
      <w:r>
        <w:t xml:space="preserve"> </w:t>
      </w:r>
      <w:r>
        <w:t xml:space="preserve">(+0.017), and</w:t>
      </w:r>
      <w:r>
        <w:t xml:space="preserve"> </w:t>
      </w:r>
      <w:r>
        <w:rPr>
          <w:i/>
          <w:iCs/>
        </w:rPr>
        <w:t xml:space="preserve">squad</w:t>
      </w:r>
      <w:r>
        <w:t xml:space="preserve"> </w:t>
      </w:r>
      <w:r>
        <w:t xml:space="preserve">(+0.013). Words weighing against the label were generic, non-topical terms such as</w:t>
      </w:r>
      <w:r>
        <w:t xml:space="preserve"> </w:t>
      </w:r>
      <w:r>
        <w:rPr>
          <w:i/>
          <w:iCs/>
        </w:rPr>
        <w:t xml:space="preserve">said</w:t>
      </w:r>
      <w:r>
        <w:t xml:space="preserve">,</w:t>
      </w:r>
      <w:r>
        <w:t xml:space="preserve"> </w:t>
      </w:r>
      <w:r>
        <w:rPr>
          <w:i/>
          <w:iCs/>
        </w:rPr>
        <w:t xml:space="preserve">new</w:t>
      </w:r>
      <w:r>
        <w:t xml:space="preserve">,</w:t>
      </w:r>
      <w:r>
        <w:t xml:space="preserve"> </w:t>
      </w:r>
      <w:r>
        <w:rPr>
          <w:i/>
          <w:iCs/>
        </w:rPr>
        <w:t xml:space="preserve">july</w:t>
      </w:r>
      <w:r>
        <w:t xml:space="preserve"> </w:t>
      </w:r>
      <w:r>
        <w:t xml:space="preserve">and</w:t>
      </w:r>
      <w:r>
        <w:t xml:space="preserve"> </w:t>
      </w:r>
      <w:r>
        <w:rPr>
          <w:i/>
          <w:iCs/>
        </w:rPr>
        <w:t xml:space="preserve">charity</w:t>
      </w:r>
      <w:r>
        <w:t xml:space="preserve">. The explanation confirms the classifier keys on genuine sport-domain vocabulary rather than dataset artefacts — exactly the transparency an XAI check is meant to provide, and a useful diagnostic for spotting cases where a model might rely on misleading features.</w:t>
      </w:r>
    </w:p>
    <w:p>
      <w:pPr>
        <w:pStyle w:val="BodyText"/>
      </w:pPr>
      <w:r>
        <w:rPr>
          <w:b/>
          <w:bCs/>
        </w:rPr>
        <w:t xml:space="preserve">Figure 10:</w:t>
      </w:r>
      <w:r>
        <w:t xml:space="preserve"> </w:t>
      </w:r>
      <w:r>
        <w:t xml:space="preserve">LIME explanation for a Sport article</w:t>
      </w:r>
    </w:p>
    <w:p>
      <w:pPr>
        <w:pStyle w:val="CaptionedFigure"/>
      </w:pPr>
      <w:r>
        <w:drawing>
          <wp:inline>
            <wp:extent cx="5334000" cy="3195007"/>
            <wp:effectExtent b="0" l="0" r="0" t="0"/>
            <wp:docPr descr="LIME" title="" id="62" name="Picture"/>
            <a:graphic>
              <a:graphicData uri="http://schemas.openxmlformats.org/drawingml/2006/picture">
                <pic:pic>
                  <pic:nvPicPr>
                    <pic:cNvPr descr="figures/11_lime_sport_correct.png" id="63" name="Picture"/>
                    <pic:cNvPicPr>
                      <a:picLocks noChangeArrowheads="1" noChangeAspect="1"/>
                    </pic:cNvPicPr>
                  </pic:nvPicPr>
                  <pic:blipFill>
                    <a:blip r:embed="rId61"/>
                    <a:stretch>
                      <a:fillRect/>
                    </a:stretch>
                  </pic:blipFill>
                  <pic:spPr bwMode="auto">
                    <a:xfrm>
                      <a:off x="0" y="0"/>
                      <a:ext cx="5334000" cy="3195007"/>
                    </a:xfrm>
                    <a:prstGeom prst="rect">
                      <a:avLst/>
                    </a:prstGeom>
                    <a:noFill/>
                    <a:ln w="9525">
                      <a:noFill/>
                      <a:headEnd/>
                      <a:tailEnd/>
                    </a:ln>
                  </pic:spPr>
                </pic:pic>
              </a:graphicData>
            </a:graphic>
          </wp:inline>
        </w:drawing>
      </w:r>
    </w:p>
    <w:p>
      <w:pPr>
        <w:pStyle w:val="ImageCaption"/>
      </w:pPr>
      <w:r>
        <w:t xml:space="preserve">LIME</w:t>
      </w:r>
    </w:p>
    <w:bookmarkEnd w:id="64"/>
    <w:bookmarkEnd w:id="65"/>
    <w:bookmarkStart w:id="71" w:name="X0657c94cce1d1b9a7eedb1f4dd15b4c8f8b16b6"/>
    <w:p>
      <w:pPr>
        <w:pStyle w:val="Heading3"/>
      </w:pPr>
      <w:r>
        <w:t xml:space="preserve">4.2.2 Task 2 — Retrieval-Augmented Generation (RAG)</w:t>
      </w:r>
    </w:p>
    <w:p>
      <w:pPr>
        <w:pStyle w:val="FirstParagraph"/>
      </w:pPr>
      <w:r>
        <w:t xml:space="preserve">RAG (Lewis et al., 2020) addresses a specific weakness of generative models: asked a factual question, they generate fluent text from parametric memory with no guarantee of accuracy and no citable source, which can lead to hallucination. RAG retrieves relevant documents first and instructs the model to answer only from them, grounding its output in evidence taken directly from the BBC News corpus. As a result, responses are generally more accurate, more consistent, and easier to verify.</w:t>
      </w:r>
    </w:p>
    <w:bookmarkStart w:id="66" w:name="system-architecture"/>
    <w:p>
      <w:pPr>
        <w:pStyle w:val="Heading4"/>
      </w:pPr>
      <w:r>
        <w:t xml:space="preserve">System Architecture</w:t>
      </w:r>
    </w:p>
    <w:p>
      <w:pPr>
        <w:pStyle w:val="FirstParagraph"/>
      </w:pPr>
      <w:r>
        <w:t xml:space="preserve">The RAG pipeline consists of two components:</w:t>
      </w:r>
    </w:p>
    <w:p>
      <w:pPr>
        <w:pStyle w:val="BodyText"/>
      </w:pPr>
      <w:r>
        <w:rPr>
          <w:b/>
          <w:bCs/>
        </w:rPr>
        <w:t xml:space="preserve">Retriever.</w:t>
      </w:r>
      <w:r>
        <w:t xml:space="preserve"> </w:t>
      </w:r>
      <w:r>
        <w:t xml:space="preserve">Sentence embeddings were generated using</w:t>
      </w:r>
      <w:r>
        <w:t xml:space="preserve"> </w:t>
      </w:r>
      <w:r>
        <w:rPr>
          <w:rStyle w:val="VerbatimChar"/>
        </w:rPr>
        <w:t xml:space="preserve">sentence-transformers/all-MiniLM-L6-v2</w:t>
      </w:r>
      <w:r>
        <w:t xml:space="preserve"> </w:t>
      </w:r>
      <w:r>
        <w:t xml:space="preserve">(Reimers &amp; Gurevych, 2019), producing 384-dimensional vectors. All 2,126 articles were encoded and stored in a FAISS</w:t>
      </w:r>
      <w:r>
        <w:t xml:space="preserve"> </w:t>
      </w:r>
      <w:r>
        <w:rPr>
          <w:rStyle w:val="VerbatimChar"/>
        </w:rPr>
        <w:t xml:space="preserve">IndexFlatIP</w:t>
      </w:r>
      <w:r>
        <w:t xml:space="preserve"> </w:t>
      </w:r>
      <w:r>
        <w:t xml:space="preserve">index (Johnson et al., 2019) with L2-normalised vectors, so that inner-product search is mathematically equivalent to exact cosine similarity. The performance of a RAG system depends heavily on retrieval quality: if relevant documents are surfaced, the generator has accurate context to work from; poor retrieval degrades the answer regardless of generator quality. At 2,126 vectors, FAISS performs this exhaustive search in milliseconds.</w:t>
      </w:r>
    </w:p>
    <w:p>
      <w:pPr>
        <w:pStyle w:val="BodyText"/>
      </w:pPr>
      <w:r>
        <w:rPr>
          <w:b/>
          <w:bCs/>
        </w:rPr>
        <w:t xml:space="preserve">Generator.</w:t>
      </w:r>
      <w:r>
        <w:t xml:space="preserve"> </w:t>
      </w:r>
      <w:r>
        <w:rPr>
          <w:rStyle w:val="VerbatimChar"/>
        </w:rPr>
        <w:t xml:space="preserve">google/flan-t5-base</w:t>
      </w:r>
      <w:r>
        <w:t xml:space="preserve"> </w:t>
      </w:r>
      <w:r>
        <w:t xml:space="preserve">(Chung et al., 2022) generates answers via</w:t>
      </w:r>
      <w:r>
        <w:t xml:space="preserve"> </w:t>
      </w:r>
      <w:r>
        <w:rPr>
          <w:rStyle w:val="VerbatimChar"/>
        </w:rPr>
        <w:t xml:space="preserve">AutoModelForSeq2SeqLM</w:t>
      </w:r>
      <w:r>
        <w:t xml:space="preserve">. Flan-T5 is instruction-tuned, so it follows a directive such as</w:t>
      </w:r>
      <w:r>
        <w:t xml:space="preserve"> </w:t>
      </w:r>
      <w:r>
        <w:t xml:space="preserve">“answer using only the articles provided”</w:t>
      </w:r>
      <w:r>
        <w:t xml:space="preserve"> </w:t>
      </w:r>
      <w:r>
        <w:t xml:space="preserve">without task-specific training — essential here, as we have no supervised QA data. The prompt template supplies the retrieved article snippets as context:</w:t>
      </w:r>
    </w:p>
    <w:p>
      <w:pPr>
        <w:pStyle w:val="SourceCode"/>
      </w:pPr>
      <w:r>
        <w:rPr>
          <w:rStyle w:val="VerbatimChar"/>
        </w:rPr>
        <w:t xml:space="preserve">You are a knowledgeable news assistant. Answer using only the articles provided.</w:t>
      </w:r>
      <w:r>
        <w:br/>
      </w:r>
      <w:r>
        <w:br/>
      </w:r>
      <w:r>
        <w:rPr>
          <w:rStyle w:val="VerbatimChar"/>
        </w:rPr>
        <w:t xml:space="preserve">Article 1 [sport]: &lt;snippet&gt;</w:t>
      </w:r>
      <w:r>
        <w:br/>
      </w:r>
      <w:r>
        <w:rPr>
          <w:rStyle w:val="VerbatimChar"/>
        </w:rPr>
        <w:t xml:space="preserve">Article 2 [politics]: &lt;snippet&gt;</w:t>
      </w:r>
      <w:r>
        <w:br/>
      </w:r>
      <w:r>
        <w:rPr>
          <w:rStyle w:val="VerbatimChar"/>
        </w:rPr>
        <w:t xml:space="preserve">...</w:t>
      </w:r>
      <w:r>
        <w:br/>
      </w:r>
      <w:r>
        <w:br/>
      </w:r>
      <w:r>
        <w:rPr>
          <w:rStyle w:val="VerbatimChar"/>
        </w:rPr>
        <w:t xml:space="preserve">Question: &lt;user query&gt;</w:t>
      </w:r>
      <w:r>
        <w:br/>
      </w:r>
      <w:r>
        <w:rPr>
          <w:rStyle w:val="VerbatimChar"/>
        </w:rPr>
        <w:t xml:space="preserve">Answer:</w:t>
      </w:r>
    </w:p>
    <w:bookmarkEnd w:id="66"/>
    <w:bookmarkStart w:id="70" w:name="evaluation"/>
    <w:p>
      <w:pPr>
        <w:pStyle w:val="Heading4"/>
      </w:pPr>
      <w:r>
        <w:t xml:space="preserve">Evaluation</w:t>
      </w:r>
    </w:p>
    <w:p>
      <w:pPr>
        <w:pStyle w:val="FirstParagraph"/>
      </w:pPr>
      <w:r>
        <w:t xml:space="preserve">The system was evaluated on 10 manually curated questions drawn from topics present in the BBC corpus, scored with</w:t>
      </w:r>
      <w:r>
        <w:t xml:space="preserve"> </w:t>
      </w:r>
      <w:r>
        <w:rPr>
          <w:b/>
          <w:bCs/>
        </w:rPr>
        <w:t xml:space="preserve">ROUGE-L</w:t>
      </w:r>
      <w:r>
        <w:t xml:space="preserve"> </w:t>
      </w:r>
      <w:r>
        <w:t xml:space="preserve">(Lin, 2004), which measures the longest common subsequence between the generated and reference answers.</w:t>
      </w:r>
    </w:p>
    <w:p>
      <w:pPr>
        <w:pStyle w:val="BodyText"/>
      </w:pPr>
      <w:r>
        <w:rPr>
          <w:b/>
          <w:bCs/>
        </w:rPr>
        <w:t xml:space="preserve">Figure 11:</w:t>
      </w:r>
      <w:r>
        <w:t xml:space="preserve"> </w:t>
      </w:r>
      <w:r>
        <w:t xml:space="preserve">ROUGE-L scores per question</w:t>
      </w:r>
    </w:p>
    <w:p>
      <w:pPr>
        <w:pStyle w:val="CaptionedFigure"/>
      </w:pPr>
      <w:r>
        <w:drawing>
          <wp:inline>
            <wp:extent cx="5334000" cy="1908495"/>
            <wp:effectExtent b="0" l="0" r="0" t="0"/>
            <wp:docPr descr="ROUGE" title="" id="68" name="Picture"/>
            <a:graphic>
              <a:graphicData uri="http://schemas.openxmlformats.org/drawingml/2006/picture">
                <pic:pic>
                  <pic:nvPicPr>
                    <pic:cNvPr descr="figures/18_rag_rouge_scores.png" id="69" name="Picture"/>
                    <pic:cNvPicPr>
                      <a:picLocks noChangeArrowheads="1" noChangeAspect="1"/>
                    </pic:cNvPicPr>
                  </pic:nvPicPr>
                  <pic:blipFill>
                    <a:blip r:embed="rId67"/>
                    <a:stretch>
                      <a:fillRect/>
                    </a:stretch>
                  </pic:blipFill>
                  <pic:spPr bwMode="auto">
                    <a:xfrm>
                      <a:off x="0" y="0"/>
                      <a:ext cx="5334000" cy="1908495"/>
                    </a:xfrm>
                    <a:prstGeom prst="rect">
                      <a:avLst/>
                    </a:prstGeom>
                    <a:noFill/>
                    <a:ln w="9525">
                      <a:noFill/>
                      <a:headEnd/>
                      <a:tailEnd/>
                    </a:ln>
                  </pic:spPr>
                </pic:pic>
              </a:graphicData>
            </a:graphic>
          </wp:inline>
        </w:drawing>
      </w:r>
    </w:p>
    <w:p>
      <w:pPr>
        <w:pStyle w:val="ImageCaption"/>
      </w:pPr>
      <w:r>
        <w:t xml:space="preserve">ROUGE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Mean ROUGE-L</w:t>
            </w:r>
          </w:p>
        </w:tc>
        <w:tc>
          <w:tcPr/>
          <w:p>
            <w:pPr>
              <w:pStyle w:val="Compact"/>
            </w:pPr>
            <w:r>
              <w:t xml:space="preserve">0.1549</w:t>
            </w:r>
          </w:p>
        </w:tc>
      </w:tr>
      <w:tr>
        <w:tc>
          <w:tcPr/>
          <w:p>
            <w:pPr>
              <w:pStyle w:val="Compact"/>
            </w:pPr>
            <w:r>
              <w:t xml:space="preserve">Best question ROUGE-L</w:t>
            </w:r>
          </w:p>
        </w:tc>
        <w:tc>
          <w:tcPr/>
          <w:p>
            <w:pPr>
              <w:pStyle w:val="Compact"/>
            </w:pPr>
            <w:r>
              <w:t xml:space="preserve">0.3077</w:t>
            </w:r>
          </w:p>
        </w:tc>
      </w:tr>
      <w:tr>
        <w:tc>
          <w:tcPr/>
          <w:p>
            <w:pPr>
              <w:pStyle w:val="Compact"/>
            </w:pPr>
            <w:r>
              <w:t xml:space="preserve">Worst question ROUGE-L</w:t>
            </w:r>
          </w:p>
        </w:tc>
        <w:tc>
          <w:tcPr/>
          <w:p>
            <w:pPr>
              <w:pStyle w:val="Compact"/>
            </w:pPr>
            <w:r>
              <w:t xml:space="preserve">0.0000</w:t>
            </w:r>
          </w:p>
        </w:tc>
      </w:tr>
    </w:tbl>
    <w:p>
      <w:pPr>
        <w:pStyle w:val="BodyText"/>
      </w:pPr>
      <w:r>
        <w:t xml:space="preserve">A mean ROUGE-L of 0.155 looks low, but substantially reflects a metric that is measuring the wrong thing rather than a broken system. ROUGE-L rewards literal longest-common-subsequence overlap and penalises valid paraphrase: our references are full sentences (</w:t>
      </w:r>
      <w:r>
        <w:t xml:space="preserve">“Tiger Woods is a professional golfer”</w:t>
      </w:r>
      <w:r>
        <w:t xml:space="preserve">), while an instruction-tuned model asked a direct question answers tersely — plausibly</w:t>
      </w:r>
      <w:r>
        <w:t xml:space="preserve"> </w:t>
      </w:r>
      <w:r>
        <w:t xml:space="preserve">“golf”</w:t>
      </w:r>
      <w:r>
        <w:t xml:space="preserve"> </w:t>
      </w:r>
      <w:r>
        <w:t xml:space="preserve">— which is completely correct yet scores exactly zero because no common subsequence exists. Both zero-scoring questions are of this short-factoid form, a strong sign the metric, not the system, produced them. Manual inspection confirms the retriever surfaces relevant articles for every question; the generator’s compact size and terse phrasing, not retrieval quality, drive the ROUGE ceiling. ROUGE-L should therefore be read here as a proxy for lexical overlap, not a full measure of answer correctness — a limitation a semantic metric such as BERTScore would address.</w:t>
      </w:r>
    </w:p>
    <w:bookmarkEnd w:id="70"/>
    <w:bookmarkEnd w:id="71"/>
    <w:bookmarkStart w:id="74" w:name="task-3-streamlit-ui-and-deployment"/>
    <w:p>
      <w:pPr>
        <w:pStyle w:val="Heading3"/>
      </w:pPr>
      <w:r>
        <w:t xml:space="preserve">4.2.3 Task 3 — Streamlit UI and Deployment</w:t>
      </w:r>
    </w:p>
    <w:bookmarkStart w:id="72" w:name="application-design"/>
    <w:p>
      <w:pPr>
        <w:pStyle w:val="Heading4"/>
      </w:pPr>
      <w:r>
        <w:t xml:space="preserve">Application Design</w:t>
      </w:r>
    </w:p>
    <w:p>
      <w:pPr>
        <w:pStyle w:val="FirstParagraph"/>
      </w:pPr>
      <w:r>
        <w:t xml:space="preserve">An interactive Streamlit application (</w:t>
      </w:r>
      <w:r>
        <w:rPr>
          <w:rStyle w:val="VerbatimChar"/>
        </w:rPr>
        <w:t xml:space="preserve">app/app.py</w:t>
      </w:r>
      <w:r>
        <w:t xml:space="preserve">) was developed with two tabs:</w:t>
      </w:r>
    </w:p>
    <w:p>
      <w:pPr>
        <w:pStyle w:val="Compact"/>
        <w:numPr>
          <w:ilvl w:val="0"/>
          <w:numId w:val="1003"/>
        </w:numPr>
      </w:pPr>
      <w:r>
        <w:rPr>
          <w:b/>
          <w:bCs/>
        </w:rPr>
        <w:t xml:space="preserve">Article Classifier</w:t>
      </w:r>
      <w:r>
        <w:t xml:space="preserve"> </w:t>
      </w:r>
      <w:r>
        <w:t xml:space="preserve">— the user pastes any news text; the Linear SVM pipeline predicts the category and displays per-class confidence scores as a bar chart.</w:t>
      </w:r>
    </w:p>
    <w:p>
      <w:pPr>
        <w:pStyle w:val="Compact"/>
        <w:numPr>
          <w:ilvl w:val="0"/>
          <w:numId w:val="1003"/>
        </w:numPr>
      </w:pPr>
      <w:r>
        <w:rPr>
          <w:b/>
          <w:bCs/>
        </w:rPr>
        <w:t xml:space="preserve">News Q&amp;A (RAG)</w:t>
      </w:r>
      <w:r>
        <w:t xml:space="preserve"> </w:t>
      </w:r>
      <w:r>
        <w:t xml:space="preserve">— the user enters a natural-language question; the system retrieves the top-</w:t>
      </w:r>
      <w:r>
        <w:rPr>
          <w:i/>
          <w:iCs/>
        </w:rPr>
        <w:t xml:space="preserve">k</w:t>
      </w:r>
      <w:r>
        <w:t xml:space="preserve"> </w:t>
      </w:r>
      <w:r>
        <w:t xml:space="preserve">most relevant BBC articles (across all five categories) and generates an answer using Flan-T5-base, exposing the retrieved sources in an expandable panel so the answer can be traced back to real articles.</w:t>
      </w:r>
    </w:p>
    <w:p>
      <w:pPr>
        <w:pStyle w:val="FirstParagraph"/>
      </w:pPr>
      <w:r>
        <w:rPr>
          <w:b/>
          <w:bCs/>
        </w:rPr>
        <w:t xml:space="preserve">Figure 12:</w:t>
      </w:r>
      <w:r>
        <w:t xml:space="preserve"> </w:t>
      </w:r>
      <w:r>
        <w:t xml:space="preserve">Streamlit application — Article Classifier (Tab 1) and News Q&amp;A (Tab 2)</w:t>
      </w:r>
    </w:p>
    <w:p>
      <w:pPr>
        <w:pStyle w:val="BodyText"/>
      </w:pPr>
      <w:r>
        <w:rPr>
          <w:i/>
          <w:iCs/>
        </w:rPr>
        <w:t xml:space="preserve">[Screenshot to be inserted from the live HuggingFace Space before submission.]</w:t>
      </w:r>
    </w:p>
    <w:bookmarkEnd w:id="72"/>
    <w:bookmarkStart w:id="73" w:name="deployment"/>
    <w:p>
      <w:pPr>
        <w:pStyle w:val="Heading4"/>
      </w:pPr>
      <w:r>
        <w:t xml:space="preserve">Deployment</w:t>
      </w:r>
    </w:p>
    <w:p>
      <w:pPr>
        <w:pStyle w:val="FirstParagraph"/>
      </w:pPr>
      <w:r>
        <w:t xml:space="preserve">The application is deployed publicly on HuggingFace Spaces:</w:t>
      </w:r>
      <w:r>
        <w:t xml:space="preserve"> </w:t>
      </w:r>
      <w:r>
        <w:rPr>
          <w:b/>
          <w:bCs/>
        </w:rPr>
        <w:t xml:space="preserve">https://huggingface.co/spaces/Geoanto/bbc-news-assistant</w:t>
      </w:r>
    </w:p>
    <w:p>
      <w:pPr>
        <w:pStyle w:val="BodyText"/>
      </w:pPr>
      <w:r>
        <w:t xml:space="preserve">Deployment required uploading</w:t>
      </w:r>
      <w:r>
        <w:t xml:space="preserve"> </w:t>
      </w:r>
      <w:r>
        <w:rPr>
          <w:rStyle w:val="VerbatimChar"/>
        </w:rPr>
        <w:t xml:space="preserve">app.py</w:t>
      </w:r>
      <w:r>
        <w:t xml:space="preserve">,</w:t>
      </w:r>
      <w:r>
        <w:t xml:space="preserve"> </w:t>
      </w:r>
      <w:r>
        <w:rPr>
          <w:rStyle w:val="VerbatimChar"/>
        </w:rPr>
        <w:t xml:space="preserve">requirements.txt</w:t>
      </w:r>
      <w:r>
        <w:t xml:space="preserve">, and the pre-computed model artefacts (the FAISS index, article corpus, and fitted classification pipeline) to a Streamlit Space. Committing pre-built artefacts rather than recomputing them at startup keeps the Space within its memory and cold-start limits, so the app loads quickly and serves both tabs without retraining. The most significant issue was image size: the default</w:t>
      </w:r>
      <w:r>
        <w:t xml:space="preserve"> </w:t>
      </w:r>
      <w:r>
        <w:rPr>
          <w:rStyle w:val="VerbatimChar"/>
        </w:rPr>
        <w:t xml:space="preserve">torch</w:t>
      </w:r>
      <w:r>
        <w:t xml:space="preserve"> </w:t>
      </w:r>
      <w:r>
        <w:t xml:space="preserve">wheel bundles CUDA libraries irrelevant to a CPU-only Space, so pinning the CPU-only build reduced the image from ~2.5 GB to ~200 MB.</w:t>
      </w:r>
    </w:p>
    <w:bookmarkEnd w:id="73"/>
    <w:bookmarkEnd w:id="74"/>
    <w:bookmarkEnd w:id="75"/>
    <w:bookmarkEnd w:id="76"/>
    <w:bookmarkStart w:id="79" w:name="conclusions-and-future-work"/>
    <w:p>
      <w:pPr>
        <w:pStyle w:val="Heading1"/>
      </w:pPr>
      <w:r>
        <w:t xml:space="preserve">5. Conclusions and Future Work</w:t>
      </w:r>
    </w:p>
    <w:bookmarkStart w:id="77" w:name="summary-of-findings"/>
    <w:p>
      <w:pPr>
        <w:pStyle w:val="Heading2"/>
      </w:pPr>
      <w:r>
        <w:t xml:space="preserve">5.1 Summary of Findings</w:t>
      </w:r>
    </w:p>
    <w:p>
      <w:pPr>
        <w:numPr>
          <w:ilvl w:val="0"/>
          <w:numId w:val="1004"/>
        </w:numPr>
      </w:pPr>
      <w:r>
        <w:rPr>
          <w:b/>
          <w:bCs/>
        </w:rPr>
        <w:t xml:space="preserve">Fine-tuned DistilBERT is the top classifier</w:t>
      </w:r>
      <w:r>
        <w:t xml:space="preserve"> </w:t>
      </w:r>
      <w:r>
        <w:t xml:space="preserve">(97.21% accuracy, 0.971 macro F1), but only marginally ahead of well-tuned classical models — Linear SVM reaches 97.00% on TF-IDF alone. For lexically separable categories, a strong representation plus a linear boundary is already near-ceiling, and the SVM achieves it far more cheaply, which is why the deployed app serves it.</w:t>
      </w:r>
    </w:p>
    <w:p>
      <w:pPr>
        <w:numPr>
          <w:ilvl w:val="0"/>
          <w:numId w:val="1004"/>
        </w:numPr>
      </w:pPr>
      <w:r>
        <w:rPr>
          <w:b/>
          <w:bCs/>
        </w:rPr>
        <w:t xml:space="preserve">Pre-training, not architecture depth, drives deep-learning gains.</w:t>
      </w:r>
      <w:r>
        <w:t xml:space="preserve"> </w:t>
      </w:r>
      <w:r>
        <w:t xml:space="preserve">The from-scratch BiLSTM (81.55% accuracy) trails every classical model, because 2,126 articles are far too few to learn good representations from random initialisation — whereas DistilBERT arrives pre-trained on billions of tokens and need only adapt.</w:t>
      </w:r>
    </w:p>
    <w:p>
      <w:pPr>
        <w:numPr>
          <w:ilvl w:val="0"/>
          <w:numId w:val="1004"/>
        </w:numPr>
      </w:pPr>
      <w:r>
        <w:rPr>
          <w:b/>
          <w:bCs/>
        </w:rPr>
        <w:t xml:space="preserve">Unsupervised methods recover the known structure.</w:t>
      </w:r>
      <w:r>
        <w:t xml:space="preserve"> </w:t>
      </w:r>
      <w:r>
        <w:t xml:space="preserve">LDA (K = 10, C_v = 0.4612) rediscovers the categories as coherent latent topics — subdividing them along real fault lines — and t-SNE shows the categories clustering from Word2Vec embeddings alone, evidence the representations capture real topical signal before any labels are used.</w:t>
      </w:r>
    </w:p>
    <w:p>
      <w:pPr>
        <w:numPr>
          <w:ilvl w:val="0"/>
          <w:numId w:val="1004"/>
        </w:numPr>
      </w:pPr>
      <w:r>
        <w:rPr>
          <w:b/>
          <w:bCs/>
        </w:rPr>
        <w:t xml:space="preserve">The RAG system retrieves reliably</w:t>
      </w:r>
      <w:r>
        <w:t xml:space="preserve">, with exact cosine search over FAISS surfacing relevant articles for every evaluation question; generation quality is bounded by the compact Flan-T5-base model rather than by retrieval.</w:t>
      </w:r>
    </w:p>
    <w:p>
      <w:pPr>
        <w:pStyle w:val="FirstParagraph"/>
      </w:pPr>
      <w:r>
        <w:t xml:space="preserve">This project demonstrates that no single NLP technique is universally optimal. Classical methods such as TF-IDF with a Linear SVM remain highly competitive for well-separated text classification, while transformer-based models apply transfer learning to achieve the best performance at greater computational cost. The inclusion of topic modelling, explainable AI and Retrieval-Augmented Generation further illustrates how contemporary NLP systems increasingly combine several techniques rather than rely on a single model. Together these components form an end-to-end pipeline capable of analysing, classifying and retrieving information from large collections of news articles, and underline the need to select methods that balance predictive performance, efficiency and interpretability for the task at hand.</w:t>
      </w:r>
    </w:p>
    <w:bookmarkEnd w:id="77"/>
    <w:bookmarkStart w:id="78" w:name="future-work"/>
    <w:p>
      <w:pPr>
        <w:pStyle w:val="Heading2"/>
      </w:pPr>
      <w:r>
        <w:t xml:space="preserve">5.2 Future Work</w:t>
      </w:r>
    </w:p>
    <w:p>
      <w:pPr>
        <w:numPr>
          <w:ilvl w:val="0"/>
          <w:numId w:val="1005"/>
        </w:numPr>
      </w:pPr>
      <w:r>
        <w:rPr>
          <w:b/>
          <w:bCs/>
        </w:rPr>
        <w:t xml:space="preserve">Initialise the LSTM with pre-trained embeddings.</w:t>
      </w:r>
      <w:r>
        <w:t xml:space="preserve"> </w:t>
      </w:r>
      <w:r>
        <w:t xml:space="preserve">Initialising the BiLSTM with pre-trained word embeddings such as GloVe or FastText, instead of random initialisation, would let it start from richer language representations learned on much larger corpora. This would likely improve accuracy while reducing the amount of task-specific training data required — directly testing the pre-training hypothesis this report advances.</w:t>
      </w:r>
    </w:p>
    <w:p>
      <w:pPr>
        <w:numPr>
          <w:ilvl w:val="0"/>
          <w:numId w:val="1005"/>
        </w:numPr>
      </w:pPr>
      <w:r>
        <w:rPr>
          <w:b/>
          <w:bCs/>
        </w:rPr>
        <w:t xml:space="preserve">Replace LDA with BERTopic.</w:t>
      </w:r>
      <w:r>
        <w:t xml:space="preserve"> </w:t>
      </w:r>
      <w:r>
        <w:t xml:space="preserve">BERTopic (Grootendorst, 2022) combines transformer-based contextual embeddings with class-based TF-IDF to produce more coherent, interpretable topics. Because it reasons over contextual meaning rather than word counts, it is better suited to detecting subtle semantic differences between documents, and might improve topic separation for categories with overlapping vocabulary such as business and politics.</w:t>
      </w:r>
    </w:p>
    <w:p>
      <w:pPr>
        <w:numPr>
          <w:ilvl w:val="0"/>
          <w:numId w:val="1005"/>
        </w:numPr>
      </w:pPr>
      <w:r>
        <w:rPr>
          <w:b/>
          <w:bCs/>
        </w:rPr>
        <w:t xml:space="preserve">Upgrade the RAG generator.</w:t>
      </w:r>
      <w:r>
        <w:t xml:space="preserve"> </w:t>
      </w:r>
      <w:r>
        <w:t xml:space="preserve">Flan-T5-base offers a good trade-off between quality and cost, but larger instruction-tuned models such as Llama 3 or Mistral could generate richer, more contextually accurate answers and improve reasoning over retrieved evidence — at the cost of higher memory use and longer inference times.</w:t>
      </w:r>
    </w:p>
    <w:p>
      <w:pPr>
        <w:numPr>
          <w:ilvl w:val="0"/>
          <w:numId w:val="1005"/>
        </w:numPr>
      </w:pPr>
      <w:r>
        <w:rPr>
          <w:b/>
          <w:bCs/>
        </w:rPr>
        <w:t xml:space="preserve">Extend the corpus.</w:t>
      </w:r>
      <w:r>
        <w:t xml:space="preserve"> </w:t>
      </w:r>
      <w:r>
        <w:t xml:space="preserve">Extending the pipeline to multilingual news datasets would broaden its usefulness beyond English, enabling classification and retrieval across languages and testing how well the selected methods generalise to different linguistic structures.</w:t>
      </w:r>
    </w:p>
    <w:bookmarkEnd w:id="78"/>
    <w:bookmarkEnd w:id="79"/>
    <w:bookmarkStart w:id="80" w:name="references"/>
    <w:p>
      <w:pPr>
        <w:pStyle w:val="Heading1"/>
      </w:pPr>
      <w:r>
        <w:t xml:space="preserve">References</w:t>
      </w:r>
    </w:p>
    <w:p>
      <w:pPr>
        <w:pStyle w:val="Compact"/>
        <w:numPr>
          <w:ilvl w:val="0"/>
          <w:numId w:val="1006"/>
        </w:numPr>
      </w:pPr>
      <w:r>
        <w:t xml:space="preserve">Greene, D. &amp; Cunningham, P. (2006).</w:t>
      </w:r>
      <w:r>
        <w:t xml:space="preserve"> </w:t>
      </w:r>
      <w:r>
        <w:rPr>
          <w:i/>
          <w:iCs/>
        </w:rPr>
        <w:t xml:space="preserve">Practical Solutions to the Problem of Diagonal Dominance in Kernel Document Clustering</w:t>
      </w:r>
      <w:r>
        <w:t xml:space="preserve">. Proc. 23rd International Conference on Machine Learning (ICML), pp. 377–384.</w:t>
      </w:r>
    </w:p>
    <w:p>
      <w:pPr>
        <w:pStyle w:val="Compact"/>
        <w:numPr>
          <w:ilvl w:val="0"/>
          <w:numId w:val="1006"/>
        </w:numPr>
      </w:pPr>
      <w:r>
        <w:t xml:space="preserve">Mikolov, T., Chen, K., Corrado, G., &amp; Dean, J. (2013).</w:t>
      </w:r>
      <w:r>
        <w:t xml:space="preserve"> </w:t>
      </w:r>
      <w:r>
        <w:rPr>
          <w:i/>
          <w:iCs/>
        </w:rPr>
        <w:t xml:space="preserve">Efficient Estimation of Word Representations in Vector Space</w:t>
      </w:r>
      <w:r>
        <w:t xml:space="preserve">. ICLR.</w:t>
      </w:r>
    </w:p>
    <w:p>
      <w:pPr>
        <w:pStyle w:val="Compact"/>
        <w:numPr>
          <w:ilvl w:val="0"/>
          <w:numId w:val="1006"/>
        </w:numPr>
      </w:pPr>
      <w:r>
        <w:t xml:space="preserve">Blei, D. M., Ng, A. Y., &amp; Jordan, M. I. (2003).</w:t>
      </w:r>
      <w:r>
        <w:t xml:space="preserve"> </w:t>
      </w:r>
      <w:r>
        <w:rPr>
          <w:i/>
          <w:iCs/>
        </w:rPr>
        <w:t xml:space="preserve">Latent Dirichlet Allocation</w:t>
      </w:r>
      <w:r>
        <w:t xml:space="preserve">. Journal of Machine Learning Research, 3, 993–1022.</w:t>
      </w:r>
    </w:p>
    <w:p>
      <w:pPr>
        <w:pStyle w:val="Compact"/>
        <w:numPr>
          <w:ilvl w:val="0"/>
          <w:numId w:val="1006"/>
        </w:numPr>
      </w:pPr>
      <w:r>
        <w:t xml:space="preserve">Röder, M., Both, A., &amp; Hinneburg, A. (2015).</w:t>
      </w:r>
      <w:r>
        <w:t xml:space="preserve"> </w:t>
      </w:r>
      <w:r>
        <w:rPr>
          <w:i/>
          <w:iCs/>
        </w:rPr>
        <w:t xml:space="preserve">Exploring the Space of Topic Coherence Measures</w:t>
      </w:r>
      <w:r>
        <w:t xml:space="preserve">. Proc. 8th ACM International Conference on Web Search and Data Mining (WSDM), pp. 399–408.</w:t>
      </w:r>
    </w:p>
    <w:p>
      <w:pPr>
        <w:pStyle w:val="Compact"/>
        <w:numPr>
          <w:ilvl w:val="0"/>
          <w:numId w:val="1006"/>
        </w:numPr>
      </w:pPr>
      <w:r>
        <w:t xml:space="preserve">Devlin, J., Chang, M.-W., Lee, K., &amp; Toutanova, K. (2019).</w:t>
      </w:r>
      <w:r>
        <w:t xml:space="preserve"> </w:t>
      </w:r>
      <w:r>
        <w:rPr>
          <w:i/>
          <w:iCs/>
        </w:rPr>
        <w:t xml:space="preserve">BERT: Pre-training of Deep Bidirectional Transformers for Language Understanding</w:t>
      </w:r>
      <w:r>
        <w:t xml:space="preserve">. NAACL-HLT.</w:t>
      </w:r>
    </w:p>
    <w:p>
      <w:pPr>
        <w:pStyle w:val="Compact"/>
        <w:numPr>
          <w:ilvl w:val="0"/>
          <w:numId w:val="1006"/>
        </w:numPr>
      </w:pPr>
      <w:r>
        <w:t xml:space="preserve">Sanh, V., Debut, L., Chaumond, J., &amp; Wolf, T. (2019).</w:t>
      </w:r>
      <w:r>
        <w:t xml:space="preserve"> </w:t>
      </w:r>
      <w:r>
        <w:rPr>
          <w:i/>
          <w:iCs/>
        </w:rPr>
        <w:t xml:space="preserve">DistilBERT, a distilled version of BERT: smaller, faster, cheaper and lighter</w:t>
      </w:r>
      <w:r>
        <w:t xml:space="preserve">. arXiv:1910.01108.</w:t>
      </w:r>
    </w:p>
    <w:p>
      <w:pPr>
        <w:pStyle w:val="Compact"/>
        <w:numPr>
          <w:ilvl w:val="0"/>
          <w:numId w:val="1006"/>
        </w:numPr>
      </w:pPr>
      <w:r>
        <w:t xml:space="preserve">Ribeiro, M. T., Singh, S., &amp; Guestrin, C. (2016).</w:t>
      </w:r>
      <w:r>
        <w:t xml:space="preserve"> </w:t>
      </w:r>
      <w:r>
        <w:rPr>
          <w:i/>
          <w:iCs/>
        </w:rPr>
        <w:t xml:space="preserve">“Why Should I Trust You?”</w:t>
      </w:r>
      <w:r>
        <w:rPr>
          <w:i/>
          <w:iCs/>
        </w:rPr>
        <w:t xml:space="preserve">: Explaining the Predictions of Any Classifier</w:t>
      </w:r>
      <w:r>
        <w:t xml:space="preserve">. KDD.</w:t>
      </w:r>
    </w:p>
    <w:p>
      <w:pPr>
        <w:pStyle w:val="Compact"/>
        <w:numPr>
          <w:ilvl w:val="0"/>
          <w:numId w:val="1006"/>
        </w:numPr>
      </w:pPr>
      <w:r>
        <w:t xml:space="preserve">Lewis, P., et al. (2020).</w:t>
      </w:r>
      <w:r>
        <w:t xml:space="preserve"> </w:t>
      </w:r>
      <w:r>
        <w:rPr>
          <w:i/>
          <w:iCs/>
        </w:rPr>
        <w:t xml:space="preserve">Retrieval-Augmented Generation for Knowledge-Intensive NLP Tasks</w:t>
      </w:r>
      <w:r>
        <w:t xml:space="preserve">. NeurIPS.</w:t>
      </w:r>
    </w:p>
    <w:p>
      <w:pPr>
        <w:pStyle w:val="Compact"/>
        <w:numPr>
          <w:ilvl w:val="0"/>
          <w:numId w:val="1006"/>
        </w:numPr>
      </w:pPr>
      <w:r>
        <w:t xml:space="preserve">Reimers, N. &amp; Gurevych, I. (2019).</w:t>
      </w:r>
      <w:r>
        <w:t xml:space="preserve"> </w:t>
      </w:r>
      <w:r>
        <w:rPr>
          <w:i/>
          <w:iCs/>
        </w:rPr>
        <w:t xml:space="preserve">Sentence-BERT: Sentence Embeddings using Siamese BERT-Networks</w:t>
      </w:r>
      <w:r>
        <w:t xml:space="preserve">. EMNLP.</w:t>
      </w:r>
    </w:p>
    <w:p>
      <w:pPr>
        <w:pStyle w:val="Compact"/>
        <w:numPr>
          <w:ilvl w:val="0"/>
          <w:numId w:val="1006"/>
        </w:numPr>
      </w:pPr>
      <w:r>
        <w:t xml:space="preserve">Johnson, J., Douze, M., &amp; Jégou, H. (2019).</w:t>
      </w:r>
      <w:r>
        <w:t xml:space="preserve"> </w:t>
      </w:r>
      <w:r>
        <w:rPr>
          <w:i/>
          <w:iCs/>
        </w:rPr>
        <w:t xml:space="preserve">Billion-Scale Similarity Search with GPUs</w:t>
      </w:r>
      <w:r>
        <w:t xml:space="preserve">. IEEE Transactions on Big Data.</w:t>
      </w:r>
    </w:p>
    <w:p>
      <w:pPr>
        <w:pStyle w:val="Compact"/>
        <w:numPr>
          <w:ilvl w:val="0"/>
          <w:numId w:val="1006"/>
        </w:numPr>
      </w:pPr>
      <w:r>
        <w:t xml:space="preserve">Chung, H. W., et al. (2022).</w:t>
      </w:r>
      <w:r>
        <w:t xml:space="preserve"> </w:t>
      </w:r>
      <w:r>
        <w:rPr>
          <w:i/>
          <w:iCs/>
        </w:rPr>
        <w:t xml:space="preserve">Scaling Instruction-Finetuned Language Models (Flan-T5)</w:t>
      </w:r>
      <w:r>
        <w:t xml:space="preserve">. arXiv:2210.11416.</w:t>
      </w:r>
    </w:p>
    <w:p>
      <w:pPr>
        <w:pStyle w:val="Compact"/>
        <w:numPr>
          <w:ilvl w:val="0"/>
          <w:numId w:val="1006"/>
        </w:numPr>
      </w:pPr>
      <w:r>
        <w:t xml:space="preserve">Lin, C.-Y. (2004).</w:t>
      </w:r>
      <w:r>
        <w:t xml:space="preserve"> </w:t>
      </w:r>
      <w:r>
        <w:rPr>
          <w:i/>
          <w:iCs/>
        </w:rPr>
        <w:t xml:space="preserve">ROUGE: A Package for Automatic Evaluation of Summaries</w:t>
      </w:r>
      <w:r>
        <w:t xml:space="preserve">. Text Summarization Branches Out, ACL Workshop.</w:t>
      </w:r>
    </w:p>
    <w:p>
      <w:pPr>
        <w:pStyle w:val="Compact"/>
        <w:numPr>
          <w:ilvl w:val="0"/>
          <w:numId w:val="1006"/>
        </w:numPr>
      </w:pPr>
      <w:r>
        <w:t xml:space="preserve">Grootendorst, M. (2022).</w:t>
      </w:r>
      <w:r>
        <w:t xml:space="preserve"> </w:t>
      </w:r>
      <w:r>
        <w:rPr>
          <w:i/>
          <w:iCs/>
        </w:rPr>
        <w:t xml:space="preserve">BERTopic: Neural topic modeling with a class-based TF-IDF procedure</w:t>
      </w:r>
      <w:r>
        <w:t xml:space="preserve">. arXiv:2203.05794.</w:t>
      </w:r>
    </w:p>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61" Target="media/rId61.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7" Target="media/rId6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2026-07-22T18:32:04Z</dcterms:created>
  <dcterms:modified xsi:type="dcterms:W3CDTF">2026-07-22T18:32:04Z</dcterms:modified>
</cp:coreProperties>
</file>

<file path=docProps/custom.xml><?xml version="1.0" encoding="utf-8"?>
<Properties xmlns="http://schemas.openxmlformats.org/officeDocument/2006/custom-properties" xmlns:vt="http://schemas.openxmlformats.org/officeDocument/2006/docPropsVTypes"/>
</file>