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04866" w:rsidRPr="005A6F8A" w:rsidRDefault="00904866" w:rsidP="007C5B33">
      <w:pPr>
        <w:pStyle w:val="ae"/>
        <w:jc w:val="both"/>
        <w:rPr>
          <w:rFonts w:ascii="Arial" w:hAnsi="Arial" w:cs="Arial"/>
        </w:rPr>
      </w:pPr>
      <w:r w:rsidRPr="005A6F8A">
        <w:rPr>
          <w:rFonts w:ascii="Arial" w:hAnsi="Arial" w:cs="Arial"/>
        </w:rPr>
        <w:t>In this setup, we define a three-dimensional model domain with dimensions of 500 km in the x-direction, 2000 km in the y-direction, and 200 km in the vertical (z) direction. Within this domain, three major tectonic regions are prescribed: Domain 1 (</w:t>
      </w:r>
      <w:r w:rsidR="005054CE" w:rsidRPr="005A6F8A">
        <w:rPr>
          <w:rFonts w:ascii="Arial" w:hAnsi="Arial" w:cs="Arial"/>
        </w:rPr>
        <w:t>left</w:t>
      </w:r>
      <w:r w:rsidRPr="005A6F8A">
        <w:rPr>
          <w:rFonts w:ascii="Arial" w:hAnsi="Arial" w:cs="Arial"/>
        </w:rPr>
        <w:t>), representing undeformed lithosphere; Domain 2 (</w:t>
      </w:r>
      <w:r w:rsidR="005054CE" w:rsidRPr="005A6F8A">
        <w:rPr>
          <w:rFonts w:ascii="Arial" w:hAnsi="Arial" w:cs="Arial"/>
        </w:rPr>
        <w:t>right</w:t>
      </w:r>
      <w:r w:rsidRPr="005A6F8A">
        <w:rPr>
          <w:rFonts w:ascii="Arial" w:hAnsi="Arial" w:cs="Arial"/>
        </w:rPr>
        <w:t>), representing a mountain belt; and Domain 3 (</w:t>
      </w:r>
      <w:r w:rsidR="005054CE" w:rsidRPr="005A6F8A">
        <w:rPr>
          <w:rFonts w:ascii="Arial" w:hAnsi="Arial" w:cs="Arial"/>
        </w:rPr>
        <w:t>center</w:t>
      </w:r>
      <w:r w:rsidRPr="005A6F8A">
        <w:rPr>
          <w:rFonts w:ascii="Arial" w:hAnsi="Arial" w:cs="Arial"/>
        </w:rPr>
        <w:t>), representing the thickened orogenic domain.</w:t>
      </w:r>
    </w:p>
    <w:p w:rsidR="00904866" w:rsidRPr="005A6F8A" w:rsidRDefault="00904866" w:rsidP="007C5B33">
      <w:pPr>
        <w:pStyle w:val="ae"/>
        <w:jc w:val="both"/>
        <w:rPr>
          <w:rFonts w:ascii="Arial" w:hAnsi="Arial" w:cs="Arial"/>
        </w:rPr>
      </w:pPr>
      <w:r w:rsidRPr="005A6F8A">
        <w:rPr>
          <w:rFonts w:ascii="Arial" w:hAnsi="Arial" w:cs="Arial"/>
        </w:rPr>
        <w:t>Domains 1 and 2 are initialized with a reference lithospheric structure typical of stable continental regions, consisting of an upper crust of 25 km, a lower crust of 15 km, and a mantle lithosphere of 80 km, corresponding to a lithosphere–asthenosphere boundary (LAB) at ~120 km depth.</w:t>
      </w:r>
    </w:p>
    <w:p w:rsidR="00904866" w:rsidRPr="005A6F8A" w:rsidRDefault="00904866" w:rsidP="007C5B33">
      <w:pPr>
        <w:pStyle w:val="ae"/>
        <w:jc w:val="both"/>
        <w:rPr>
          <w:rFonts w:ascii="Arial" w:hAnsi="Arial" w:cs="Arial"/>
        </w:rPr>
      </w:pPr>
      <w:r w:rsidRPr="005A6F8A">
        <w:rPr>
          <w:rFonts w:ascii="Arial" w:hAnsi="Arial" w:cs="Arial"/>
        </w:rPr>
        <w:t>In contrast, the mountain domain is characterized by a thickened lithosphere. The upper crust increases to 35 km, while the lower crust gradually thickens to a maximum of 60 km toward the center of the orogen. The mantle lithosphere is also thickened, with the LAB deepening to ~155 km. This configuration represents a fully developed orogenic root.</w:t>
      </w:r>
    </w:p>
    <w:p w:rsidR="00904866" w:rsidRPr="005A6F8A" w:rsidRDefault="00904866" w:rsidP="007C5B33">
      <w:pPr>
        <w:pStyle w:val="ae"/>
        <w:jc w:val="both"/>
        <w:rPr>
          <w:rFonts w:ascii="Arial" w:hAnsi="Arial" w:cs="Arial"/>
        </w:rPr>
      </w:pPr>
      <w:r w:rsidRPr="005A6F8A">
        <w:rPr>
          <w:rFonts w:ascii="Arial" w:hAnsi="Arial" w:cs="Arial"/>
        </w:rPr>
        <w:t>An initial surface topography of 4 km is imposed over the mountain domain to reflect elevated orogenic relief.</w:t>
      </w:r>
    </w:p>
    <w:p w:rsidR="005054CE" w:rsidRPr="005A6F8A" w:rsidRDefault="001B75CB" w:rsidP="007C5B33">
      <w:pPr>
        <w:pStyle w:val="ae"/>
        <w:jc w:val="center"/>
        <w:rPr>
          <w:rFonts w:ascii="Arial" w:hAnsi="Arial" w:cs="Arial"/>
          <w:b/>
          <w:bCs/>
          <w:u w:val="single"/>
        </w:rPr>
      </w:pPr>
      <w:r w:rsidRPr="005A6F8A">
        <w:rPr>
          <w:rFonts w:ascii="Arial" w:hAnsi="Arial" w:cs="Arial"/>
          <w:b/>
          <w:bCs/>
        </w:rPr>
        <w:drawing>
          <wp:inline distT="0" distB="0" distL="0" distR="0" wp14:anchorId="39DACA1F" wp14:editId="1988D6FD">
            <wp:extent cx="2559607" cy="3247120"/>
            <wp:effectExtent l="0" t="0" r="6350" b="4445"/>
            <wp:docPr id="21031032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4504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81484" cy="3274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4CE" w:rsidRPr="005A6F8A" w:rsidRDefault="005054CE" w:rsidP="007C5B33">
      <w:pPr>
        <w:pStyle w:val="ae"/>
        <w:jc w:val="both"/>
        <w:rPr>
          <w:rFonts w:ascii="Arial" w:hAnsi="Arial" w:cs="Arial"/>
        </w:rPr>
      </w:pPr>
      <w:r w:rsidRPr="005A6F8A">
        <w:rPr>
          <w:rStyle w:val="af"/>
          <w:rFonts w:ascii="Arial" w:hAnsi="Arial" w:cs="Arial"/>
        </w:rPr>
        <w:t xml:space="preserve">Figure </w:t>
      </w:r>
      <w:r w:rsidRPr="005A6F8A">
        <w:rPr>
          <w:rStyle w:val="af"/>
          <w:rFonts w:ascii="Arial" w:hAnsi="Arial" w:cs="Arial"/>
        </w:rPr>
        <w:t>1</w:t>
      </w:r>
      <w:r w:rsidRPr="005A6F8A">
        <w:rPr>
          <w:rStyle w:val="af"/>
          <w:rFonts w:ascii="Arial" w:hAnsi="Arial" w:cs="Arial"/>
        </w:rPr>
        <w:t>.</w:t>
      </w:r>
      <w:r w:rsidRPr="005A6F8A">
        <w:rPr>
          <w:rFonts w:ascii="Arial" w:hAnsi="Arial" w:cs="Arial"/>
          <w:b/>
          <w:bCs/>
        </w:rPr>
        <w:t xml:space="preserve"> Model domain of the orogenic setup constructed using </w:t>
      </w:r>
      <w:proofErr w:type="spellStart"/>
      <w:r w:rsidRPr="005A6F8A">
        <w:rPr>
          <w:rStyle w:val="af0"/>
          <w:rFonts w:ascii="Arial" w:hAnsi="Arial" w:cs="Arial"/>
          <w:b/>
          <w:bCs/>
        </w:rPr>
        <w:t>WorldBuilder</w:t>
      </w:r>
      <w:proofErr w:type="spellEnd"/>
      <w:r w:rsidRPr="005A6F8A">
        <w:rPr>
          <w:rFonts w:ascii="Arial" w:hAnsi="Arial" w:cs="Arial"/>
          <w:b/>
          <w:bCs/>
        </w:rPr>
        <w:t>. Gray represents the upper crust, light orange the lower crust, orange the lithospheric mantle, and red the asthenosphere.</w:t>
      </w:r>
    </w:p>
    <w:p w:rsidR="00904866" w:rsidRPr="005A6F8A" w:rsidRDefault="00904866" w:rsidP="007C5B33">
      <w:pPr>
        <w:pStyle w:val="ae"/>
        <w:jc w:val="both"/>
        <w:rPr>
          <w:rFonts w:ascii="Arial" w:hAnsi="Arial" w:cs="Arial"/>
          <w:b/>
          <w:bCs/>
        </w:rPr>
      </w:pPr>
      <w:r w:rsidRPr="005A6F8A">
        <w:rPr>
          <w:rFonts w:ascii="Arial" w:hAnsi="Arial" w:cs="Arial"/>
          <w:b/>
          <w:bCs/>
        </w:rPr>
        <w:lastRenderedPageBreak/>
        <w:drawing>
          <wp:inline distT="0" distB="0" distL="0" distR="0" wp14:anchorId="1AE2600F" wp14:editId="798BD612">
            <wp:extent cx="5274310" cy="1322070"/>
            <wp:effectExtent l="0" t="0" r="0" b="0"/>
            <wp:docPr id="15450943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0943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866" w:rsidRPr="005A6F8A" w:rsidRDefault="00904866" w:rsidP="007C5B33">
      <w:pPr>
        <w:pStyle w:val="ae"/>
        <w:jc w:val="both"/>
        <w:rPr>
          <w:rFonts w:ascii="Arial" w:hAnsi="Arial" w:cs="Arial"/>
          <w:b/>
          <w:bCs/>
        </w:rPr>
      </w:pPr>
      <w:r w:rsidRPr="005A6F8A">
        <w:rPr>
          <w:rFonts w:ascii="Arial" w:hAnsi="Arial" w:cs="Arial"/>
          <w:b/>
          <w:bCs/>
        </w:rPr>
        <w:drawing>
          <wp:inline distT="0" distB="0" distL="0" distR="0" wp14:anchorId="04A05A57" wp14:editId="16B6815E">
            <wp:extent cx="5274310" cy="1924685"/>
            <wp:effectExtent l="0" t="0" r="0" b="5715"/>
            <wp:docPr id="19845877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5877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4CE" w:rsidRPr="005A6F8A" w:rsidRDefault="005054CE" w:rsidP="007C5B33">
      <w:pPr>
        <w:pStyle w:val="ae"/>
        <w:jc w:val="both"/>
        <w:rPr>
          <w:rFonts w:ascii="Arial" w:hAnsi="Arial" w:cs="Arial"/>
          <w:lang w:val="en-GB"/>
        </w:rPr>
      </w:pPr>
      <w:r w:rsidRPr="005A6F8A">
        <w:rPr>
          <w:rFonts w:ascii="Arial" w:hAnsi="Arial" w:cs="Arial"/>
          <w:b/>
          <w:bCs/>
          <w:lang/>
        </w:rPr>
        <w:t xml:space="preserve">Figure </w:t>
      </w:r>
      <w:r w:rsidRPr="005A6F8A">
        <w:rPr>
          <w:rFonts w:ascii="Arial" w:hAnsi="Arial" w:cs="Arial"/>
          <w:b/>
          <w:bCs/>
        </w:rPr>
        <w:t>2</w:t>
      </w:r>
      <w:r w:rsidRPr="005A6F8A">
        <w:rPr>
          <w:rFonts w:ascii="Arial" w:hAnsi="Arial" w:cs="Arial"/>
          <w:b/>
          <w:bCs/>
          <w:lang/>
        </w:rPr>
        <w:t xml:space="preserve">. The profile of compositon and tempetaruers. </w:t>
      </w:r>
    </w:p>
    <w:p w:rsidR="00FC20A5" w:rsidRDefault="00D97436" w:rsidP="007C5B33">
      <w:pPr>
        <w:jc w:val="both"/>
        <w:rPr>
          <w:rFonts w:ascii="Arial" w:hAnsi="Arial" w:cs="Arial"/>
        </w:rPr>
      </w:pPr>
      <w:r w:rsidRPr="00D97436">
        <w:rPr>
          <w:rFonts w:ascii="Arial" w:hAnsi="Arial" w:cs="Arial"/>
        </w:rPr>
        <w:drawing>
          <wp:inline distT="0" distB="0" distL="0" distR="0" wp14:anchorId="45868D5C" wp14:editId="6FACE306">
            <wp:extent cx="5274310" cy="2583815"/>
            <wp:effectExtent l="0" t="0" r="0" b="0"/>
            <wp:docPr id="17944562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4562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436" w:rsidRPr="005A6F8A" w:rsidRDefault="00D97436" w:rsidP="00D97436">
      <w:pPr>
        <w:pStyle w:val="ae"/>
        <w:jc w:val="both"/>
        <w:rPr>
          <w:rFonts w:ascii="Arial" w:hAnsi="Arial" w:cs="Arial"/>
          <w:lang w:val="en-GB"/>
        </w:rPr>
      </w:pPr>
      <w:r w:rsidRPr="005A6F8A">
        <w:rPr>
          <w:rFonts w:ascii="Arial" w:hAnsi="Arial" w:cs="Arial"/>
          <w:b/>
          <w:bCs/>
          <w:lang/>
        </w:rPr>
        <w:t xml:space="preserve">Figure </w:t>
      </w:r>
      <w:r w:rsidR="00940515">
        <w:rPr>
          <w:rFonts w:ascii="Arial" w:hAnsi="Arial" w:cs="Arial"/>
          <w:b/>
          <w:bCs/>
        </w:rPr>
        <w:t>3</w:t>
      </w:r>
      <w:r w:rsidRPr="005A6F8A">
        <w:rPr>
          <w:rFonts w:ascii="Arial" w:hAnsi="Arial" w:cs="Arial"/>
          <w:b/>
          <w:bCs/>
          <w:lang/>
        </w:rPr>
        <w:t>. The</w:t>
      </w:r>
      <w:r>
        <w:rPr>
          <w:rFonts w:ascii="Arial" w:hAnsi="Arial" w:cs="Arial"/>
          <w:b/>
          <w:bCs/>
        </w:rPr>
        <w:t xml:space="preserve"> orogen domains with topography 4 km</w:t>
      </w:r>
      <w:r w:rsidRPr="005A6F8A">
        <w:rPr>
          <w:rFonts w:ascii="Arial" w:hAnsi="Arial" w:cs="Arial"/>
          <w:b/>
          <w:bCs/>
          <w:lang/>
        </w:rPr>
        <w:t xml:space="preserve">. </w:t>
      </w:r>
    </w:p>
    <w:p w:rsidR="00D97436" w:rsidRPr="00D97436" w:rsidRDefault="00D97436" w:rsidP="007C5B33">
      <w:pPr>
        <w:jc w:val="both"/>
        <w:rPr>
          <w:rFonts w:ascii="Arial" w:hAnsi="Arial" w:cs="Arial"/>
          <w:lang w:val="en-GB"/>
        </w:rPr>
      </w:pPr>
    </w:p>
    <w:sectPr w:rsidR="00D97436" w:rsidRPr="00D974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866"/>
    <w:rsid w:val="000A6A65"/>
    <w:rsid w:val="001A25DD"/>
    <w:rsid w:val="001B2A88"/>
    <w:rsid w:val="001B75CB"/>
    <w:rsid w:val="002123A6"/>
    <w:rsid w:val="00217661"/>
    <w:rsid w:val="00261726"/>
    <w:rsid w:val="00274B19"/>
    <w:rsid w:val="002A6C4C"/>
    <w:rsid w:val="004041A7"/>
    <w:rsid w:val="00463230"/>
    <w:rsid w:val="00502EA3"/>
    <w:rsid w:val="005054CE"/>
    <w:rsid w:val="005256EC"/>
    <w:rsid w:val="00596532"/>
    <w:rsid w:val="005A6F8A"/>
    <w:rsid w:val="005F4FAC"/>
    <w:rsid w:val="005F773E"/>
    <w:rsid w:val="00606F25"/>
    <w:rsid w:val="006C7307"/>
    <w:rsid w:val="00742F8A"/>
    <w:rsid w:val="0076639A"/>
    <w:rsid w:val="007B1B24"/>
    <w:rsid w:val="007C5B33"/>
    <w:rsid w:val="00810BC8"/>
    <w:rsid w:val="00904866"/>
    <w:rsid w:val="0093386D"/>
    <w:rsid w:val="00940515"/>
    <w:rsid w:val="009840A6"/>
    <w:rsid w:val="009F3CF4"/>
    <w:rsid w:val="00A97738"/>
    <w:rsid w:val="00AD531B"/>
    <w:rsid w:val="00AD79C2"/>
    <w:rsid w:val="00AF6BC5"/>
    <w:rsid w:val="00B847FA"/>
    <w:rsid w:val="00C54F96"/>
    <w:rsid w:val="00C814D7"/>
    <w:rsid w:val="00C9154B"/>
    <w:rsid w:val="00CB13E8"/>
    <w:rsid w:val="00CB7B97"/>
    <w:rsid w:val="00CF224D"/>
    <w:rsid w:val="00D314A8"/>
    <w:rsid w:val="00D97436"/>
    <w:rsid w:val="00DF67DB"/>
    <w:rsid w:val="00EC4423"/>
    <w:rsid w:val="00F15B27"/>
    <w:rsid w:val="00FC20A5"/>
    <w:rsid w:val="00FE3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DDCB95"/>
  <w15:chartTrackingRefBased/>
  <w15:docId w15:val="{36DAD585-C5E8-E842-A93E-977D7B6EE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0486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4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48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486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486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486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486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486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486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486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048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048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0486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0486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0486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0486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0486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0486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0486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04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48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048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4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048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48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486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4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0486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04866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90486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5054CE"/>
    <w:rPr>
      <w:b/>
      <w:bCs/>
    </w:rPr>
  </w:style>
  <w:style w:type="character" w:styleId="af0">
    <w:name w:val="Emphasis"/>
    <w:basedOn w:val="a0"/>
    <w:uiPriority w:val="20"/>
    <w:qFormat/>
    <w:rsid w:val="005054C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43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0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2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83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219</Words>
  <Characters>1252</Characters>
  <Application>Microsoft Office Word</Application>
  <DocSecurity>0</DocSecurity>
  <Lines>10</Lines>
  <Paragraphs>2</Paragraphs>
  <ScaleCrop>false</ScaleCrop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 Li</dc:creator>
  <cp:keywords/>
  <dc:description/>
  <cp:lastModifiedBy>Kai Li</cp:lastModifiedBy>
  <cp:revision>8</cp:revision>
  <dcterms:created xsi:type="dcterms:W3CDTF">2026-03-30T13:22:00Z</dcterms:created>
  <dcterms:modified xsi:type="dcterms:W3CDTF">2026-03-30T14:14:00Z</dcterms:modified>
</cp:coreProperties>
</file>