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olo"/>
      </w:pPr>
      <w:r>
        <w:rPr/>
        <w:t>Dangers &amp; Dwellers</w:t>
      </w:r>
    </w:p>
    <w:p>
      <w:pPr>
        <w:pStyle w:val="Sottotitolo"/>
      </w:pPr>
      <w:r>
        <w:rPr/>
        <w:t>Extended rulebook</w:t>
      </w:r>
    </w:p>
    <w:p>
      <w:pPr/>
      <w:r>
        <w:rPr>
          <w:b/>
        </w:rPr>
        <w:t>4–8 Stakeholders  ·  6 years  ·  One shared treasury</w:t>
      </w:r>
    </w:p>
    <w:p>
      <w:pPr>
        <w:pStyle w:val="Titolo2"/>
      </w:pPr>
      <w:r>
        <w:rPr/>
        <w:t>Welcome to Geolie</w:t>
      </w:r>
    </w:p>
    <w:p>
      <w:pPr/>
      <w:r>
        <w:rPr/>
        <w:t xml:space="preserve">An enchanting island, a crystal-clear sea... and a few problems with landslides, floods and earthquakes. Work together to protect Geolie while pursuing your Stakeholder’s own goals. If any health statistic reaches </w:t>
      </w:r>
      <w:r>
        <w:rPr>
          <w:b/>
        </w:rPr>
        <w:t>0</w:t>
      </w:r>
      <w:r>
        <w:rPr/>
        <w:t xml:space="preserve">, everybody loses. Survive six years, then compare medals: </w:t>
      </w:r>
      <w:r>
        <w:rPr>
          <w:b/>
        </w:rPr>
        <w:t>Gold beats Silver; Silver beats Bronze</w:t>
      </w:r>
      <w:r>
        <w:rPr/>
        <w:t>. Players tied for the highest medal win together.</w:t>
      </w:r>
    </w:p>
    <w:p>
      <w:pPr>
        <w:pStyle w:val="Titolo2"/>
      </w:pPr>
      <w:r>
        <w:rPr/>
        <w:t>What you need</w:t>
      </w:r>
    </w:p>
    <w:p>
      <w:pPr/>
      <w:r>
        <w:rPr/>
        <w:t>1 Island Board, 3 hazard boards, 1 Timeline; 32 Stakeholder cards (8 roles, 4 portraits each), 94 Action cards and 22 Event cards. Provide 12 statistic markers, a turn marker, one vote token per Stakeholder and Geuros or a treasury record.</w:t>
      </w:r>
    </w:p>
    <w:p>
      <w:pPr>
        <w:pStyle w:val="Titolo2"/>
      </w:pPr>
      <w:r>
        <w:rPr/>
        <w:t>Set up the game</w:t>
      </w:r>
    </w:p>
    <w:p>
      <w:pPr/>
      <w:r>
        <w:rPr>
          <w:b/>
        </w:rPr>
        <w:t>1. Choose roles.</w:t>
      </w:r>
      <w:r>
        <w:rPr/>
        <w:t xml:space="preserve"> Each player or team takes a different Stakeholder and its Action deck. A team of 2–4 people shares one hand, one ability and one vote. Choose a Master to manage the Event deck.</w:t>
      </w:r>
    </w:p>
    <w:p>
      <w:pPr/>
      <w:r>
        <w:rPr>
          <w:b/>
        </w:rPr>
        <w:t>2. Deal cards.</w:t>
      </w:r>
      <w:r>
        <w:rPr/>
        <w:t xml:space="preserve"> Shuffle each Stakeholder’s Action deck separately. Draw </w:t>
      </w:r>
      <w:r>
        <w:rPr>
          <w:b/>
        </w:rPr>
        <w:t>3 cards</w:t>
      </w:r>
      <w:r>
        <w:rPr/>
        <w:t>; place the rest face down. Keep at most 3 cards in hand.</w:t>
      </w:r>
    </w:p>
    <w:p>
      <w:pPr/>
      <w:r>
        <w:rPr>
          <w:b/>
        </w:rPr>
        <w:t>3. Set the boards.</w:t>
      </w:r>
      <w:r>
        <w:rPr/>
        <w:t xml:space="preserve"> Start Happiness, Wealth and Population at </w:t>
      </w:r>
      <w:r>
        <w:rPr>
          <w:b/>
        </w:rPr>
        <w:t>50</w:t>
      </w:r>
      <w:r>
        <w:rPr/>
        <w:t xml:space="preserve">; all nine defence statistics at </w:t>
      </w:r>
      <w:r>
        <w:rPr>
          <w:b/>
        </w:rPr>
        <w:t>0</w:t>
      </w:r>
      <w:r>
        <w:rPr/>
        <w:t xml:space="preserve">. Put </w:t>
      </w:r>
      <w:r>
        <w:rPr>
          <w:b/>
        </w:rPr>
        <w:t>200 Geuros</w:t>
      </w:r>
      <w:r>
        <w:rPr/>
        <w:t xml:space="preserve"> in the common treasury. Place the turn marker on year 1.</w:t>
      </w:r>
    </w:p>
    <w:p>
      <w:pPr/>
      <w:r>
        <w:rPr>
          <w:b/>
        </w:rPr>
        <w:t>4. Prepare Events.</w:t>
      </w:r>
      <w:r>
        <w:rPr/>
        <w:t xml:space="preserve"> Randomly select 3 Level I, 2 Level II and 1 Level III cards. Stack them face down to be drawn in this order: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21"/>
        <w:gridCol w:w="1134"/>
        <w:gridCol w:w="1134"/>
        <w:gridCol w:w="1134"/>
        <w:gridCol w:w="1134"/>
        <w:gridCol w:w="1134"/>
        <w:gridCol w:w="1134"/>
      </w:tblGrid>
      <w:tr>
        <w:trPr>
          <w:cantSplit/>
          <w:tblHeader/>
        </w:trPr>
        <w:tc>
          <w:tcPr>
            <w:tcW w:type="dxa" w:w="2721"/>
            <w:vAlign w:val="center"/>
            <w:shd w:fill="147D83"/>
            <w:tcMar>
              <w:top w:w="75" w:type="dxa"/>
              <w:bottom w:w="75" w:type="dxa"/>
              <w:left w:w="90" w:type="dxa"/>
              <w:right w:w="90" w:type="dxa"/>
            </w:tcMar>
          </w:tcPr>
          <w:p>
            <w:pPr>
              <w:spacing w:after="0" w:line="247" w:lineRule="auto"/>
            </w:pPr>
            <w:r>
              <w:rPr>
                <w:b/>
                <w:color w:val="FFFFFF"/>
                <w:sz w:val="20"/>
              </w:rPr>
              <w:t>Year</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1</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2</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3</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4</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5</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0"/>
              </w:rPr>
              <w:t>6</w:t>
            </w:r>
          </w:p>
        </w:tc>
      </w:tr>
      <w:tr>
        <w:trPr>
          <w:cantSplit/>
        </w:trPr>
        <w:tc>
          <w:tcPr>
            <w:tcW w:type="dxa" w:w="2721"/>
            <w:vAlign w:val="center"/>
            <w:shd w:fill="FFFFFF"/>
            <w:tcMar>
              <w:top w:w="75" w:type="dxa"/>
              <w:bottom w:w="75" w:type="dxa"/>
              <w:left w:w="90" w:type="dxa"/>
              <w:right w:w="90" w:type="dxa"/>
            </w:tcMar>
          </w:tcPr>
          <w:p>
            <w:pPr>
              <w:spacing w:after="0" w:line="247" w:lineRule="auto"/>
            </w:pPr>
            <w:r>
              <w:rPr>
                <w:b w:val="0"/>
                <w:color w:val="202B32"/>
                <w:sz w:val="20"/>
              </w:rPr>
              <w:t>Level</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II</w:t>
            </w:r>
          </w:p>
        </w:tc>
        <w:tc>
          <w:tcPr>
            <w:tcW w:type="dxa" w:w="1134"/>
            <w:vAlign w:val="center"/>
            <w:shd w:fill="FFFFFF"/>
            <w:tcMar>
              <w:top w:w="75" w:type="dxa"/>
              <w:bottom w:w="75" w:type="dxa"/>
              <w:left w:w="90" w:type="dxa"/>
              <w:right w:w="90" w:type="dxa"/>
            </w:tcMar>
          </w:tcPr>
          <w:p>
            <w:pPr>
              <w:spacing w:after="0" w:line="247" w:lineRule="auto"/>
              <w:jc w:val="center"/>
            </w:pPr>
            <w:r>
              <w:rPr>
                <w:b w:val="0"/>
                <w:color w:val="202B32"/>
                <w:sz w:val="20"/>
              </w:rPr>
              <w:t>III</w:t>
            </w:r>
          </w:p>
        </w:tc>
      </w:tr>
    </w:tbl>
    <w:p>
      <w:pPr>
        <w:spacing w:after="0" w:before="0" w:line="96" w:lineRule="auto"/>
      </w:pPr>
    </w:p>
    <w:p>
      <w:pPr/>
      <w:r>
        <w:rPr>
          <w:b/>
        </w:rPr>
        <w:t>5. Choose who starts.</w:t>
      </w:r>
      <w:r>
        <w:rPr/>
        <w:t xml:space="preserve"> Proceed clockwise. At the end of each year, the next Stakeholder clockwise becomes the starting player.</w:t>
      </w:r>
    </w:p>
    <w:p>
      <w:pPr/>
      <w:r>
        <w:rPr/>
        <w:t>If nobody agrees who should begin, use the first participating role in this order: Citizenship, Scientists, Local Government, Mass Media, Ministry of Finance, Ministry of Infrastructure, Civil Protection, Firefighters.</w:t>
      </w:r>
    </w:p>
    <w:p>
      <w:pPr/>
      <w:r>
        <w:rPr/>
        <w:t>For a harder game, start all three health statistics at 45 or 40; for an easier game, use 55 or 60. The initial treasury remains 200 Geuros.</w:t>
      </w:r>
    </w:p>
    <w:p>
      <w:pPr>
        <w:pStyle w:val="Titolo1"/>
        <w:pageBreakBefore/>
      </w:pPr>
      <w:r>
        <w:rPr>
          <w:color w:val="147D83"/>
        </w:rPr>
        <w:t>The island and its defences</w:t>
      </w:r>
    </w:p>
    <w:p>
      <w:pPr>
        <w:pStyle w:val="Titolo2"/>
      </w:pPr>
      <w:r>
        <w:rPr/>
        <w:t>Island health</w:t>
      </w:r>
    </w:p>
    <w:p>
      <w:pPr/>
      <w:r>
        <w:drawing>
          <wp:inline xmlns:a="http://schemas.openxmlformats.org/drawingml/2006/main" xmlns:pic="http://schemas.openxmlformats.org/drawingml/2006/picture">
            <wp:extent cx="216000" cy="194494"/>
            <wp:docPr id="1" name="Picture 1" descr="health"/>
            <wp:cNvGraphicFramePr>
              <a:graphicFrameLocks noChangeAspect="1"/>
            </wp:cNvGraphicFramePr>
            <a:graphic>
              <a:graphicData uri="http://schemas.openxmlformats.org/drawingml/2006/picture">
                <pic:pic>
                  <pic:nvPicPr>
                    <pic:cNvPr id="0" name="health.png"/>
                    <pic:cNvPicPr/>
                  </pic:nvPicPr>
                  <pic:blipFill>
                    <a:blip r:embed="rId16"/>
                    <a:stretch>
                      <a:fillRect/>
                    </a:stretch>
                  </pic:blipFill>
                  <pic:spPr>
                    <a:xfrm>
                      <a:off x="0" y="0"/>
                      <a:ext cx="216000" cy="194494"/>
                    </a:xfrm>
                    <a:prstGeom prst="rect"/>
                  </pic:spPr>
                </pic:pic>
              </a:graphicData>
            </a:graphic>
          </wp:inline>
        </w:drawing>
      </w:r>
      <w:r>
        <w:t xml:space="preserve">  </w:t>
      </w:r>
      <w:r>
        <w:rPr/>
        <w:t xml:space="preserve">All three health statistics start at </w:t>
      </w:r>
      <w:r>
        <w:rPr>
          <w:b/>
        </w:rPr>
        <w:t>50</w:t>
      </w:r>
      <w:r>
        <w:rPr/>
        <w:t xml:space="preserve"> and stay between </w:t>
      </w:r>
      <w:r>
        <w:rPr>
          <w:b/>
        </w:rPr>
        <w:t>0 and 100</w:t>
      </w:r>
      <w:r>
        <w:rPr/>
        <w:t>. Reaching 0 in any one means immediate defeat after resolving any applicable protection or rescue.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07"/>
        <w:gridCol w:w="2268"/>
        <w:gridCol w:w="6350"/>
      </w:tblGrid>
      <w:tr>
        <w:trPr>
          <w:cantSplit/>
          <w:tblHeader/>
        </w:trPr>
        <w:tc>
          <w:tcPr>
            <w:tcW w:type="dxa" w:w="907"/>
            <w:vAlign w:val="center"/>
            <w:shd w:fill="147D83"/>
            <w:tcMar>
              <w:top w:w="75" w:type="dxa"/>
              <w:bottom w:w="75" w:type="dxa"/>
              <w:left w:w="90" w:type="dxa"/>
              <w:right w:w="90" w:type="dxa"/>
            </w:tcMar>
          </w:tcPr>
          <w:p>
            <w:pPr>
              <w:spacing w:after="0" w:line="247" w:lineRule="auto"/>
            </w:pPr>
            <w:r>
              <w:rPr>
                <w:b/>
                <w:color w:val="FFFFFF"/>
                <w:sz w:val="22"/>
              </w:rPr>
            </w:r>
          </w:p>
        </w:tc>
        <w:tc>
          <w:tcPr>
            <w:tcW w:type="dxa" w:w="2268"/>
            <w:vAlign w:val="center"/>
            <w:shd w:fill="147D83"/>
            <w:tcMar>
              <w:top w:w="75" w:type="dxa"/>
              <w:bottom w:w="75" w:type="dxa"/>
              <w:left w:w="90" w:type="dxa"/>
              <w:right w:w="90" w:type="dxa"/>
            </w:tcMar>
          </w:tcPr>
          <w:p>
            <w:pPr>
              <w:spacing w:after="0" w:line="247" w:lineRule="auto"/>
              <w:jc w:val="center"/>
            </w:pPr>
            <w:r>
              <w:rPr>
                <w:b/>
                <w:color w:val="FFFFFF"/>
                <w:sz w:val="22"/>
              </w:rPr>
              <w:t>Statistic</w:t>
            </w:r>
          </w:p>
        </w:tc>
        <w:tc>
          <w:tcPr>
            <w:tcW w:type="dxa" w:w="6350"/>
            <w:vAlign w:val="center"/>
            <w:shd w:fill="147D83"/>
            <w:tcMar>
              <w:top w:w="75" w:type="dxa"/>
              <w:bottom w:w="75" w:type="dxa"/>
              <w:left w:w="90" w:type="dxa"/>
              <w:right w:w="90" w:type="dxa"/>
            </w:tcMar>
          </w:tcPr>
          <w:p>
            <w:pPr>
              <w:spacing w:after="0" w:line="247" w:lineRule="auto"/>
              <w:jc w:val="left"/>
            </w:pPr>
            <w:r>
              <w:rPr>
                <w:b/>
                <w:color w:val="FFFFFF"/>
                <w:sz w:val="22"/>
              </w:rPr>
              <w:t>What it measures</w:t>
            </w:r>
          </w:p>
        </w:tc>
      </w:tr>
      <w:tr>
        <w:trPr>
          <w:cantSplit/>
        </w:trPr>
        <w:tc>
          <w:tcPr>
            <w:tcW w:type="dxa" w:w="907"/>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81005"/>
                  <wp:docPr id="2" name="Picture 2" descr="HAP"/>
                  <wp:cNvGraphicFramePr>
                    <a:graphicFrameLocks noChangeAspect="1"/>
                  </wp:cNvGraphicFramePr>
                  <a:graphic>
                    <a:graphicData uri="http://schemas.openxmlformats.org/drawingml/2006/picture">
                      <pic:pic>
                        <pic:nvPicPr>
                          <pic:cNvPr id="0" name="HAP.png"/>
                          <pic:cNvPicPr/>
                        </pic:nvPicPr>
                        <pic:blipFill>
                          <a:blip r:embed="rId17"/>
                          <a:stretch>
                            <a:fillRect/>
                          </a:stretch>
                        </pic:blipFill>
                        <pic:spPr>
                          <a:xfrm>
                            <a:off x="0" y="0"/>
                            <a:ext cx="331200" cy="181005"/>
                          </a:xfrm>
                          <a:prstGeom prst="rect"/>
                        </pic:spPr>
                      </pic:pic>
                    </a:graphicData>
                  </a:graphic>
                </wp:inline>
              </w:drawing>
            </w:r>
          </w:p>
        </w:tc>
        <w:tc>
          <w:tcPr>
            <w:tcW w:type="dxa" w:w="2268"/>
            <w:vAlign w:val="center"/>
            <w:shd w:fill="FFFFFF"/>
            <w:tcMar>
              <w:top w:w="75" w:type="dxa"/>
              <w:bottom w:w="75" w:type="dxa"/>
              <w:left w:w="90" w:type="dxa"/>
              <w:right w:w="90" w:type="dxa"/>
            </w:tcMar>
          </w:tcPr>
          <w:p>
            <w:pPr>
              <w:spacing w:after="0" w:line="247" w:lineRule="auto"/>
              <w:jc w:val="center"/>
            </w:pPr>
            <w:r>
              <w:rPr>
                <w:b w:val="0"/>
                <w:color w:val="202B32"/>
                <w:sz w:val="22"/>
              </w:rPr>
              <w:t>Happiness</w:t>
            </w:r>
          </w:p>
        </w:tc>
        <w:tc>
          <w:tcPr>
            <w:tcW w:type="dxa" w:w="6350"/>
            <w:vAlign w:val="center"/>
            <w:shd w:fill="FFFFFF"/>
            <w:tcMar>
              <w:top w:w="75" w:type="dxa"/>
              <w:bottom w:w="75" w:type="dxa"/>
              <w:left w:w="90" w:type="dxa"/>
              <w:right w:w="90" w:type="dxa"/>
            </w:tcMar>
          </w:tcPr>
          <w:p>
            <w:pPr>
              <w:spacing w:after="0" w:line="247" w:lineRule="auto"/>
              <w:jc w:val="left"/>
            </w:pPr>
            <w:r>
              <w:rPr>
                <w:b w:val="0"/>
                <w:color w:val="202B32"/>
                <w:sz w:val="22"/>
              </w:rPr>
              <w:t>People’s well-being and satisfaction.</w:t>
            </w:r>
          </w:p>
        </w:tc>
      </w:tr>
      <w:tr>
        <w:trPr>
          <w:cantSplit/>
        </w:trPr>
        <w:tc>
          <w:tcPr>
            <w:tcW w:type="dxa" w:w="907"/>
            <w:vAlign w:val="center"/>
            <w:shd w:fill="F0F6F7"/>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83134"/>
                  <wp:docPr id="3" name="Picture 3" descr="WEA"/>
                  <wp:cNvGraphicFramePr>
                    <a:graphicFrameLocks noChangeAspect="1"/>
                  </wp:cNvGraphicFramePr>
                  <a:graphic>
                    <a:graphicData uri="http://schemas.openxmlformats.org/drawingml/2006/picture">
                      <pic:pic>
                        <pic:nvPicPr>
                          <pic:cNvPr id="0" name="WEA.png"/>
                          <pic:cNvPicPr/>
                        </pic:nvPicPr>
                        <pic:blipFill>
                          <a:blip r:embed="rId18"/>
                          <a:stretch>
                            <a:fillRect/>
                          </a:stretch>
                        </pic:blipFill>
                        <pic:spPr>
                          <a:xfrm>
                            <a:off x="0" y="0"/>
                            <a:ext cx="331200" cy="183134"/>
                          </a:xfrm>
                          <a:prstGeom prst="rect"/>
                        </pic:spPr>
                      </pic:pic>
                    </a:graphicData>
                  </a:graphic>
                </wp:inline>
              </w:drawing>
            </w:r>
          </w:p>
        </w:tc>
        <w:tc>
          <w:tcPr>
            <w:tcW w:type="dxa" w:w="2268"/>
            <w:vAlign w:val="center"/>
            <w:shd w:fill="F0F6F7"/>
            <w:tcMar>
              <w:top w:w="75" w:type="dxa"/>
              <w:bottom w:w="75" w:type="dxa"/>
              <w:left w:w="90" w:type="dxa"/>
              <w:right w:w="90" w:type="dxa"/>
            </w:tcMar>
          </w:tcPr>
          <w:p>
            <w:pPr>
              <w:spacing w:after="0" w:line="247" w:lineRule="auto"/>
              <w:jc w:val="center"/>
            </w:pPr>
            <w:r>
              <w:rPr>
                <w:b w:val="0"/>
                <w:color w:val="202B32"/>
                <w:sz w:val="22"/>
              </w:rPr>
              <w:t>Wealth</w:t>
            </w:r>
          </w:p>
        </w:tc>
        <w:tc>
          <w:tcPr>
            <w:tcW w:type="dxa" w:w="6350"/>
            <w:vAlign w:val="center"/>
            <w:shd w:fill="F0F6F7"/>
            <w:tcMar>
              <w:top w:w="75" w:type="dxa"/>
              <w:bottom w:w="75" w:type="dxa"/>
              <w:left w:w="90" w:type="dxa"/>
              <w:right w:w="90" w:type="dxa"/>
            </w:tcMar>
          </w:tcPr>
          <w:p>
            <w:pPr>
              <w:spacing w:after="0" w:line="247" w:lineRule="auto"/>
              <w:jc w:val="left"/>
            </w:pPr>
            <w:r>
              <w:rPr>
                <w:b w:val="0"/>
                <w:color w:val="202B32"/>
                <w:sz w:val="22"/>
              </w:rPr>
              <w:t>Infrastructure, services and economic development.</w:t>
            </w:r>
          </w:p>
        </w:tc>
      </w:tr>
      <w:tr>
        <w:trPr>
          <w:cantSplit/>
        </w:trPr>
        <w:tc>
          <w:tcPr>
            <w:tcW w:type="dxa" w:w="907"/>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87547"/>
                  <wp:docPr id="4" name="Picture 4" descr="POP"/>
                  <wp:cNvGraphicFramePr>
                    <a:graphicFrameLocks noChangeAspect="1"/>
                  </wp:cNvGraphicFramePr>
                  <a:graphic>
                    <a:graphicData uri="http://schemas.openxmlformats.org/drawingml/2006/picture">
                      <pic:pic>
                        <pic:nvPicPr>
                          <pic:cNvPr id="0" name="POP.png"/>
                          <pic:cNvPicPr/>
                        </pic:nvPicPr>
                        <pic:blipFill>
                          <a:blip r:embed="rId19"/>
                          <a:stretch>
                            <a:fillRect/>
                          </a:stretch>
                        </pic:blipFill>
                        <pic:spPr>
                          <a:xfrm>
                            <a:off x="0" y="0"/>
                            <a:ext cx="331200" cy="187547"/>
                          </a:xfrm>
                          <a:prstGeom prst="rect"/>
                        </pic:spPr>
                      </pic:pic>
                    </a:graphicData>
                  </a:graphic>
                </wp:inline>
              </w:drawing>
            </w:r>
          </w:p>
        </w:tc>
        <w:tc>
          <w:tcPr>
            <w:tcW w:type="dxa" w:w="2268"/>
            <w:vAlign w:val="center"/>
            <w:shd w:fill="FFFFFF"/>
            <w:tcMar>
              <w:top w:w="75" w:type="dxa"/>
              <w:bottom w:w="75" w:type="dxa"/>
              <w:left w:w="90" w:type="dxa"/>
              <w:right w:w="90" w:type="dxa"/>
            </w:tcMar>
          </w:tcPr>
          <w:p>
            <w:pPr>
              <w:spacing w:after="0" w:line="247" w:lineRule="auto"/>
              <w:jc w:val="center"/>
            </w:pPr>
            <w:r>
              <w:rPr>
                <w:b w:val="0"/>
                <w:color w:val="202B32"/>
                <w:sz w:val="22"/>
              </w:rPr>
              <w:t>Population</w:t>
            </w:r>
          </w:p>
        </w:tc>
        <w:tc>
          <w:tcPr>
            <w:tcW w:type="dxa" w:w="6350"/>
            <w:vAlign w:val="center"/>
            <w:shd w:fill="FFFFFF"/>
            <w:tcMar>
              <w:top w:w="75" w:type="dxa"/>
              <w:bottom w:w="75" w:type="dxa"/>
              <w:left w:w="90" w:type="dxa"/>
              <w:right w:w="90" w:type="dxa"/>
            </w:tcMar>
          </w:tcPr>
          <w:p>
            <w:pPr>
              <w:spacing w:after="0" w:line="247" w:lineRule="auto"/>
              <w:jc w:val="left"/>
            </w:pPr>
            <w:r>
              <w:rPr>
                <w:b w:val="0"/>
                <w:color w:val="202B32"/>
                <w:sz w:val="22"/>
              </w:rPr>
              <w:t>The island’s ability to sustain and attract inhabitants.</w:t>
            </w:r>
          </w:p>
        </w:tc>
      </w:tr>
    </w:tbl>
    <w:p>
      <w:pPr>
        <w:spacing w:after="0" w:before="0" w:line="96" w:lineRule="auto"/>
      </w:pPr>
    </w:p>
    <w:p>
      <w:pPr/>
      <w:r>
        <w:drawing>
          <wp:inline xmlns:a="http://schemas.openxmlformats.org/drawingml/2006/main" xmlns:pic="http://schemas.openxmlformats.org/drawingml/2006/picture">
            <wp:extent cx="180000" cy="201575"/>
            <wp:docPr id="5" name="Picture 5" descr="geuros"/>
            <wp:cNvGraphicFramePr>
              <a:graphicFrameLocks noChangeAspect="1"/>
            </wp:cNvGraphicFramePr>
            <a:graphic>
              <a:graphicData uri="http://schemas.openxmlformats.org/drawingml/2006/picture">
                <pic:pic>
                  <pic:nvPicPr>
                    <pic:cNvPr id="0" name="geuros.png"/>
                    <pic:cNvPicPr/>
                  </pic:nvPicPr>
                  <pic:blipFill>
                    <a:blip r:embed="rId20"/>
                    <a:stretch>
                      <a:fillRect/>
                    </a:stretch>
                  </pic:blipFill>
                  <pic:spPr>
                    <a:xfrm>
                      <a:off x="0" y="0"/>
                      <a:ext cx="180000" cy="201575"/>
                    </a:xfrm>
                    <a:prstGeom prst="rect"/>
                  </pic:spPr>
                </pic:pic>
              </a:graphicData>
            </a:graphic>
          </wp:inline>
        </w:drawing>
      </w:r>
      <w:r>
        <w:t xml:space="preserve">  </w:t>
      </w:r>
      <w:r>
        <w:rPr>
          <w:b/>
        </w:rPr>
        <w:t>Wealth is not cash.</w:t>
      </w:r>
      <w:r>
        <w:rPr/>
        <w:t xml:space="preserve"> Spending Geuros does not reduce Wealth. Wealth determines the income collected at the end of the year; keep the treasury separately.</w:t>
      </w:r>
    </w:p>
    <w:p>
      <w:pPr>
        <w:pStyle w:val="Titolo2"/>
      </w:pPr>
      <w:r>
        <w:rPr/>
        <w:t>Three hazards</w:t>
      </w:r>
    </w:p>
    <w:p>
      <w:pPr>
        <w:jc w:val="center"/>
      </w:pPr>
      <w:r>
        <w:drawing>
          <wp:inline xmlns:a="http://schemas.openxmlformats.org/drawingml/2006/main" xmlns:pic="http://schemas.openxmlformats.org/drawingml/2006/picture">
            <wp:extent cx="251999" cy="261930"/>
            <wp:docPr id="6" name="Picture 6" descr="floods"/>
            <wp:cNvGraphicFramePr>
              <a:graphicFrameLocks noChangeAspect="1"/>
            </wp:cNvGraphicFramePr>
            <a:graphic>
              <a:graphicData uri="http://schemas.openxmlformats.org/drawingml/2006/picture">
                <pic:pic>
                  <pic:nvPicPr>
                    <pic:cNvPr id="0" name="floods.png"/>
                    <pic:cNvPicPr/>
                  </pic:nvPicPr>
                  <pic:blipFill>
                    <a:blip r:embed="rId21"/>
                    <a:stretch>
                      <a:fillRect/>
                    </a:stretch>
                  </pic:blipFill>
                  <pic:spPr>
                    <a:xfrm>
                      <a:off x="0" y="0"/>
                      <a:ext cx="251999" cy="261930"/>
                    </a:xfrm>
                    <a:prstGeom prst="rect"/>
                  </pic:spPr>
                </pic:pic>
              </a:graphicData>
            </a:graphic>
          </wp:inline>
        </w:drawing>
      </w:r>
      <w:r>
        <w:t xml:space="preserve">  Floods     </w:t>
      </w:r>
      <w:r>
        <w:drawing>
          <wp:inline xmlns:a="http://schemas.openxmlformats.org/drawingml/2006/main" xmlns:pic="http://schemas.openxmlformats.org/drawingml/2006/picture">
            <wp:extent cx="306000" cy="225654"/>
            <wp:docPr id="7" name="Picture 7" descr="landslides"/>
            <wp:cNvGraphicFramePr>
              <a:graphicFrameLocks noChangeAspect="1"/>
            </wp:cNvGraphicFramePr>
            <a:graphic>
              <a:graphicData uri="http://schemas.openxmlformats.org/drawingml/2006/picture">
                <pic:pic>
                  <pic:nvPicPr>
                    <pic:cNvPr id="0" name="landslides.png"/>
                    <pic:cNvPicPr/>
                  </pic:nvPicPr>
                  <pic:blipFill>
                    <a:blip r:embed="rId22"/>
                    <a:stretch>
                      <a:fillRect/>
                    </a:stretch>
                  </pic:blipFill>
                  <pic:spPr>
                    <a:xfrm>
                      <a:off x="0" y="0"/>
                      <a:ext cx="306000" cy="225654"/>
                    </a:xfrm>
                    <a:prstGeom prst="rect"/>
                  </pic:spPr>
                </pic:pic>
              </a:graphicData>
            </a:graphic>
          </wp:inline>
        </w:drawing>
      </w:r>
      <w:r>
        <w:t xml:space="preserve">  Landslides     </w:t>
      </w:r>
      <w:r>
        <w:drawing>
          <wp:inline xmlns:a="http://schemas.openxmlformats.org/drawingml/2006/main" xmlns:pic="http://schemas.openxmlformats.org/drawingml/2006/picture">
            <wp:extent cx="251999" cy="255444"/>
            <wp:docPr id="8" name="Picture 8" descr="earthquakes"/>
            <wp:cNvGraphicFramePr>
              <a:graphicFrameLocks noChangeAspect="1"/>
            </wp:cNvGraphicFramePr>
            <a:graphic>
              <a:graphicData uri="http://schemas.openxmlformats.org/drawingml/2006/picture">
                <pic:pic>
                  <pic:nvPicPr>
                    <pic:cNvPr id="0" name="earthquakes.png"/>
                    <pic:cNvPicPr/>
                  </pic:nvPicPr>
                  <pic:blipFill>
                    <a:blip r:embed="rId23"/>
                    <a:stretch>
                      <a:fillRect/>
                    </a:stretch>
                  </pic:blipFill>
                  <pic:spPr>
                    <a:xfrm>
                      <a:off x="0" y="0"/>
                      <a:ext cx="251999" cy="255444"/>
                    </a:xfrm>
                    <a:prstGeom prst="rect"/>
                  </pic:spPr>
                </pic:pic>
              </a:graphicData>
            </a:graphic>
          </wp:inline>
        </w:drawing>
      </w:r>
      <w:r>
        <w:t xml:space="preserve">  Earthquakes     </w:t>
      </w:r>
    </w:p>
    <w:p>
      <w:pPr/>
      <w:r>
        <w:rPr/>
        <w:t xml:space="preserve">Each hazard has its own three defence values, all starting at </w:t>
      </w:r>
      <w:r>
        <w:rPr>
          <w:b/>
        </w:rPr>
        <w:t>0</w:t>
      </w:r>
      <w:r>
        <w:rPr/>
        <w:t xml:space="preserve">, with a maximum of </w:t>
      </w:r>
      <w:r>
        <w:rPr>
          <w:b/>
        </w:rPr>
        <w:t>10</w:t>
      </w:r>
      <w:r>
        <w:rPr/>
        <w:t>. A card changes only the hazard columns and statistics that contain a value.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07"/>
        <w:gridCol w:w="2268"/>
        <w:gridCol w:w="6350"/>
      </w:tblGrid>
      <w:tr>
        <w:trPr>
          <w:cantSplit/>
          <w:tblHeader/>
        </w:trPr>
        <w:tc>
          <w:tcPr>
            <w:tcW w:type="dxa" w:w="907"/>
            <w:vAlign w:val="center"/>
            <w:shd w:fill="147D83"/>
            <w:tcMar>
              <w:top w:w="75" w:type="dxa"/>
              <w:bottom w:w="75" w:type="dxa"/>
              <w:left w:w="90" w:type="dxa"/>
              <w:right w:w="90" w:type="dxa"/>
            </w:tcMar>
          </w:tcPr>
          <w:p>
            <w:pPr>
              <w:spacing w:after="0" w:line="247" w:lineRule="auto"/>
            </w:pPr>
            <w:r>
              <w:rPr>
                <w:b/>
                <w:color w:val="FFFFFF"/>
                <w:sz w:val="22"/>
              </w:rPr>
            </w:r>
          </w:p>
        </w:tc>
        <w:tc>
          <w:tcPr>
            <w:tcW w:type="dxa" w:w="2268"/>
            <w:vAlign w:val="center"/>
            <w:shd w:fill="147D83"/>
            <w:tcMar>
              <w:top w:w="75" w:type="dxa"/>
              <w:bottom w:w="75" w:type="dxa"/>
              <w:left w:w="90" w:type="dxa"/>
              <w:right w:w="90" w:type="dxa"/>
            </w:tcMar>
          </w:tcPr>
          <w:p>
            <w:pPr>
              <w:spacing w:after="0" w:line="247" w:lineRule="auto"/>
              <w:jc w:val="center"/>
            </w:pPr>
            <w:r>
              <w:rPr>
                <w:b/>
                <w:color w:val="FFFFFF"/>
                <w:sz w:val="22"/>
              </w:rPr>
              <w:t>Defence</w:t>
            </w:r>
          </w:p>
        </w:tc>
        <w:tc>
          <w:tcPr>
            <w:tcW w:type="dxa" w:w="6350"/>
            <w:vAlign w:val="center"/>
            <w:shd w:fill="147D83"/>
            <w:tcMar>
              <w:top w:w="75" w:type="dxa"/>
              <w:bottom w:w="75" w:type="dxa"/>
              <w:left w:w="90" w:type="dxa"/>
              <w:right w:w="90" w:type="dxa"/>
            </w:tcMar>
          </w:tcPr>
          <w:p>
            <w:pPr>
              <w:spacing w:after="0" w:line="247" w:lineRule="auto"/>
              <w:jc w:val="left"/>
            </w:pPr>
            <w:r>
              <w:rPr>
                <w:b/>
                <w:color w:val="FFFFFF"/>
                <w:sz w:val="22"/>
              </w:rPr>
              <w:t>Role during an Event</w:t>
            </w:r>
          </w:p>
        </w:tc>
      </w:tr>
      <w:tr>
        <w:trPr>
          <w:cantSplit/>
        </w:trPr>
        <w:tc>
          <w:tcPr>
            <w:tcW w:type="dxa" w:w="907"/>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96930"/>
                  <wp:docPr id="9" name="Picture 9" descr="FOR"/>
                  <wp:cNvGraphicFramePr>
                    <a:graphicFrameLocks noChangeAspect="1"/>
                  </wp:cNvGraphicFramePr>
                  <a:graphic>
                    <a:graphicData uri="http://schemas.openxmlformats.org/drawingml/2006/picture">
                      <pic:pic>
                        <pic:nvPicPr>
                          <pic:cNvPr id="0" name="FOR.png"/>
                          <pic:cNvPicPr/>
                        </pic:nvPicPr>
                        <pic:blipFill>
                          <a:blip r:embed="rId24"/>
                          <a:stretch>
                            <a:fillRect/>
                          </a:stretch>
                        </pic:blipFill>
                        <pic:spPr>
                          <a:xfrm>
                            <a:off x="0" y="0"/>
                            <a:ext cx="331200" cy="196930"/>
                          </a:xfrm>
                          <a:prstGeom prst="rect"/>
                        </pic:spPr>
                      </pic:pic>
                    </a:graphicData>
                  </a:graphic>
                </wp:inline>
              </w:drawing>
            </w:r>
          </w:p>
        </w:tc>
        <w:tc>
          <w:tcPr>
            <w:tcW w:type="dxa" w:w="2268"/>
            <w:vAlign w:val="center"/>
            <w:shd w:fill="FFFFFF"/>
            <w:tcMar>
              <w:top w:w="75" w:type="dxa"/>
              <w:bottom w:w="75" w:type="dxa"/>
              <w:left w:w="90" w:type="dxa"/>
              <w:right w:w="90" w:type="dxa"/>
            </w:tcMar>
          </w:tcPr>
          <w:p>
            <w:pPr>
              <w:spacing w:after="0" w:line="247" w:lineRule="auto"/>
              <w:jc w:val="center"/>
            </w:pPr>
            <w:r>
              <w:rPr>
                <w:b w:val="0"/>
                <w:color w:val="202B32"/>
                <w:sz w:val="22"/>
              </w:rPr>
              <w:t>Forecast</w:t>
            </w:r>
          </w:p>
        </w:tc>
        <w:tc>
          <w:tcPr>
            <w:tcW w:type="dxa" w:w="6350"/>
            <w:vAlign w:val="center"/>
            <w:shd w:fill="FFFFFF"/>
            <w:tcMar>
              <w:top w:w="75" w:type="dxa"/>
              <w:bottom w:w="75" w:type="dxa"/>
              <w:left w:w="90" w:type="dxa"/>
              <w:right w:w="90" w:type="dxa"/>
            </w:tcMar>
          </w:tcPr>
          <w:p>
            <w:pPr>
              <w:spacing w:after="0" w:line="247" w:lineRule="auto"/>
              <w:jc w:val="left"/>
            </w:pPr>
            <w:r>
              <w:rPr>
                <w:b w:val="0"/>
                <w:color w:val="202B32"/>
                <w:sz w:val="22"/>
              </w:rPr>
              <w:t>Meet the threshold in Phase I to gain protection.</w:t>
            </w:r>
          </w:p>
        </w:tc>
      </w:tr>
      <w:tr>
        <w:trPr>
          <w:cantSplit/>
        </w:trPr>
        <w:tc>
          <w:tcPr>
            <w:tcW w:type="dxa" w:w="907"/>
            <w:vAlign w:val="center"/>
            <w:shd w:fill="F0F6F7"/>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96930"/>
                  <wp:docPr id="10" name="Picture 10" descr="MIT"/>
                  <wp:cNvGraphicFramePr>
                    <a:graphicFrameLocks noChangeAspect="1"/>
                  </wp:cNvGraphicFramePr>
                  <a:graphic>
                    <a:graphicData uri="http://schemas.openxmlformats.org/drawingml/2006/picture">
                      <pic:pic>
                        <pic:nvPicPr>
                          <pic:cNvPr id="0" name="MIT.png"/>
                          <pic:cNvPicPr/>
                        </pic:nvPicPr>
                        <pic:blipFill>
                          <a:blip r:embed="rId25"/>
                          <a:stretch>
                            <a:fillRect/>
                          </a:stretch>
                        </pic:blipFill>
                        <pic:spPr>
                          <a:xfrm>
                            <a:off x="0" y="0"/>
                            <a:ext cx="331200" cy="196930"/>
                          </a:xfrm>
                          <a:prstGeom prst="rect"/>
                        </pic:spPr>
                      </pic:pic>
                    </a:graphicData>
                  </a:graphic>
                </wp:inline>
              </w:drawing>
            </w:r>
          </w:p>
        </w:tc>
        <w:tc>
          <w:tcPr>
            <w:tcW w:type="dxa" w:w="2268"/>
            <w:vAlign w:val="center"/>
            <w:shd w:fill="F0F6F7"/>
            <w:tcMar>
              <w:top w:w="75" w:type="dxa"/>
              <w:bottom w:w="75" w:type="dxa"/>
              <w:left w:w="90" w:type="dxa"/>
              <w:right w:w="90" w:type="dxa"/>
            </w:tcMar>
          </w:tcPr>
          <w:p>
            <w:pPr>
              <w:spacing w:after="0" w:line="247" w:lineRule="auto"/>
              <w:jc w:val="center"/>
            </w:pPr>
            <w:r>
              <w:rPr>
                <w:b w:val="0"/>
                <w:color w:val="202B32"/>
                <w:sz w:val="22"/>
              </w:rPr>
              <w:t>Mitigation</w:t>
            </w:r>
          </w:p>
        </w:tc>
        <w:tc>
          <w:tcPr>
            <w:tcW w:type="dxa" w:w="6350"/>
            <w:vAlign w:val="center"/>
            <w:shd w:fill="F0F6F7"/>
            <w:tcMar>
              <w:top w:w="75" w:type="dxa"/>
              <w:bottom w:w="75" w:type="dxa"/>
              <w:left w:w="90" w:type="dxa"/>
              <w:right w:w="90" w:type="dxa"/>
            </w:tcMar>
          </w:tcPr>
          <w:p>
            <w:pPr>
              <w:spacing w:after="0" w:line="247" w:lineRule="auto"/>
              <w:jc w:val="left"/>
            </w:pPr>
            <w:r>
              <w:rPr>
                <w:b w:val="0"/>
                <w:color w:val="202B32"/>
                <w:sz w:val="22"/>
              </w:rPr>
              <w:t>Subtract from Magnitude in Phase II.</w:t>
            </w:r>
          </w:p>
        </w:tc>
      </w:tr>
      <w:tr>
        <w:trPr>
          <w:cantSplit/>
        </w:trPr>
        <w:tc>
          <w:tcPr>
            <w:tcW w:type="dxa" w:w="907"/>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31200" cy="192454"/>
                  <wp:docPr id="11" name="Picture 11" descr="RES"/>
                  <wp:cNvGraphicFramePr>
                    <a:graphicFrameLocks noChangeAspect="1"/>
                  </wp:cNvGraphicFramePr>
                  <a:graphic>
                    <a:graphicData uri="http://schemas.openxmlformats.org/drawingml/2006/picture">
                      <pic:pic>
                        <pic:nvPicPr>
                          <pic:cNvPr id="0" name="RES.png"/>
                          <pic:cNvPicPr/>
                        </pic:nvPicPr>
                        <pic:blipFill>
                          <a:blip r:embed="rId26"/>
                          <a:stretch>
                            <a:fillRect/>
                          </a:stretch>
                        </pic:blipFill>
                        <pic:spPr>
                          <a:xfrm>
                            <a:off x="0" y="0"/>
                            <a:ext cx="331200" cy="192454"/>
                          </a:xfrm>
                          <a:prstGeom prst="rect"/>
                        </pic:spPr>
                      </pic:pic>
                    </a:graphicData>
                  </a:graphic>
                </wp:inline>
              </w:drawing>
            </w:r>
          </w:p>
        </w:tc>
        <w:tc>
          <w:tcPr>
            <w:tcW w:type="dxa" w:w="2268"/>
            <w:vAlign w:val="center"/>
            <w:shd w:fill="FFFFFF"/>
            <w:tcMar>
              <w:top w:w="75" w:type="dxa"/>
              <w:bottom w:w="75" w:type="dxa"/>
              <w:left w:w="90" w:type="dxa"/>
              <w:right w:w="90" w:type="dxa"/>
            </w:tcMar>
          </w:tcPr>
          <w:p>
            <w:pPr>
              <w:spacing w:after="0" w:line="247" w:lineRule="auto"/>
              <w:jc w:val="center"/>
            </w:pPr>
            <w:r>
              <w:rPr>
                <w:b w:val="0"/>
                <w:color w:val="202B32"/>
                <w:sz w:val="22"/>
              </w:rPr>
              <w:t>Response</w:t>
            </w:r>
          </w:p>
        </w:tc>
        <w:tc>
          <w:tcPr>
            <w:tcW w:type="dxa" w:w="6350"/>
            <w:vAlign w:val="center"/>
            <w:shd w:fill="FFFFFF"/>
            <w:tcMar>
              <w:top w:w="75" w:type="dxa"/>
              <w:bottom w:w="75" w:type="dxa"/>
              <w:left w:w="90" w:type="dxa"/>
              <w:right w:w="90" w:type="dxa"/>
            </w:tcMar>
          </w:tcPr>
          <w:p>
            <w:pPr>
              <w:spacing w:after="0" w:line="247" w:lineRule="auto"/>
              <w:jc w:val="left"/>
            </w:pPr>
            <w:r>
              <w:rPr>
                <w:b w:val="0"/>
                <w:color w:val="202B32"/>
                <w:sz w:val="22"/>
              </w:rPr>
              <w:t>Subtract from Damage in Phase III.</w:t>
            </w:r>
          </w:p>
        </w:tc>
      </w:tr>
    </w:tbl>
    <w:p>
      <w:pPr>
        <w:spacing w:after="0" w:before="0" w:line="96" w:lineRule="auto"/>
      </w:pPr>
    </w:p>
    <w:p>
      <w:pPr>
        <w:keepNext/>
        <w:jc w:val="center"/>
      </w:pPr>
      <w:r>
        <w:drawing>
          <wp:inline xmlns:a="http://schemas.openxmlformats.org/drawingml/2006/main" xmlns:pic="http://schemas.openxmlformats.org/drawingml/2006/picture">
            <wp:extent cx="5328000" cy="2394879"/>
            <wp:docPr id="12" name="Picture 12" descr="flood board"/>
            <wp:cNvGraphicFramePr>
              <a:graphicFrameLocks noChangeAspect="1"/>
            </wp:cNvGraphicFramePr>
            <a:graphic>
              <a:graphicData uri="http://schemas.openxmlformats.org/drawingml/2006/picture">
                <pic:pic>
                  <pic:nvPicPr>
                    <pic:cNvPr id="0" name="flood-board.png"/>
                    <pic:cNvPicPr/>
                  </pic:nvPicPr>
                  <pic:blipFill>
                    <a:blip r:embed="rId27"/>
                    <a:stretch>
                      <a:fillRect/>
                    </a:stretch>
                  </pic:blipFill>
                  <pic:spPr>
                    <a:xfrm>
                      <a:off x="0" y="0"/>
                      <a:ext cx="5328000" cy="2394879"/>
                    </a:xfrm>
                    <a:prstGeom prst="rect"/>
                  </pic:spPr>
                </pic:pic>
              </a:graphicData>
            </a:graphic>
          </wp:inline>
        </w:drawing>
      </w:r>
    </w:p>
    <w:p>
      <w:pPr>
        <w:pStyle w:val="Caption"/>
        <w:jc w:val="center"/>
      </w:pPr>
      <w:r>
        <w:rPr/>
        <w:t>The flood board tracks its own Mitigation, Response and Forecast.</w:t>
      </w:r>
    </w:p>
    <w:p>
      <w:pPr/>
      <w:r>
        <w:rPr/>
        <w:t>Record temporary modifiers and their expiry separately. Add them to the permanent value, then limit the effective defence to 0–10. When a modifier expires, remove that modifier; preserve the underlying permanent value.</w:t>
      </w:r>
    </w:p>
    <w:p>
      <w:pPr>
        <w:pStyle w:val="Titolo1"/>
        <w:pageBreakBefore/>
      </w:pPr>
      <w:r>
        <w:rPr>
          <w:color w:val="147D83"/>
        </w:rPr>
        <w:t>Stakeholders and winning</w:t>
      </w:r>
    </w:p>
    <w:p>
      <w:pPr/>
      <w:r>
        <w:rPr/>
        <w:t xml:space="preserve">Choose </w:t>
      </w:r>
      <w:r>
        <w:rPr>
          <w:b/>
        </w:rPr>
        <w:t>4–8 different roles</w:t>
      </w:r>
      <w:r>
        <w:rPr/>
        <w:t>, controlled by individual players or teams. Each role has its own Action deck, ability and medal conditions. Portrait variants have identical rules; use them to form teams if you wish.</w:t>
      </w:r>
    </w:p>
    <w:p>
      <w:pPr>
        <w:keepNext/>
        <w:jc w:val="center"/>
      </w:pPr>
      <w:r>
        <w:drawing>
          <wp:inline xmlns:a="http://schemas.openxmlformats.org/drawingml/2006/main" xmlns:pic="http://schemas.openxmlformats.org/drawingml/2006/picture">
            <wp:extent cx="1584000" cy="2236974"/>
            <wp:docPr id="13" name="Picture 13" descr="pablo"/>
            <wp:cNvGraphicFramePr>
              <a:graphicFrameLocks noChangeAspect="1"/>
            </wp:cNvGraphicFramePr>
            <a:graphic>
              <a:graphicData uri="http://schemas.openxmlformats.org/drawingml/2006/picture">
                <pic:pic>
                  <pic:nvPicPr>
                    <pic:cNvPr id="0" name="pablo.png"/>
                    <pic:cNvPicPr/>
                  </pic:nvPicPr>
                  <pic:blipFill>
                    <a:blip r:embed="rId28"/>
                    <a:stretch>
                      <a:fillRect/>
                    </a:stretch>
                  </pic:blipFill>
                  <pic:spPr>
                    <a:xfrm>
                      <a:off x="0" y="0"/>
                      <a:ext cx="1584000" cy="2236974"/>
                    </a:xfrm>
                    <a:prstGeom prst="rect"/>
                  </pic:spPr>
                </pic:pic>
              </a:graphicData>
            </a:graphic>
          </wp:inline>
        </w:drawing>
      </w:r>
      <w:r>
        <w:t xml:space="preserve">   </w:t>
      </w:r>
      <w:r>
        <w:drawing>
          <wp:inline xmlns:a="http://schemas.openxmlformats.org/drawingml/2006/main" xmlns:pic="http://schemas.openxmlformats.org/drawingml/2006/picture">
            <wp:extent cx="1584000" cy="2236974"/>
            <wp:docPr id="14" name="Picture 14" descr="adriano"/>
            <wp:cNvGraphicFramePr>
              <a:graphicFrameLocks noChangeAspect="1"/>
            </wp:cNvGraphicFramePr>
            <a:graphic>
              <a:graphicData uri="http://schemas.openxmlformats.org/drawingml/2006/picture">
                <pic:pic>
                  <pic:nvPicPr>
                    <pic:cNvPr id="0" name="adriano.png"/>
                    <pic:cNvPicPr/>
                  </pic:nvPicPr>
                  <pic:blipFill>
                    <a:blip r:embed="rId29"/>
                    <a:stretch>
                      <a:fillRect/>
                    </a:stretch>
                  </pic:blipFill>
                  <pic:spPr>
                    <a:xfrm>
                      <a:off x="0" y="0"/>
                      <a:ext cx="1584000" cy="2236974"/>
                    </a:xfrm>
                    <a:prstGeom prst="rect"/>
                  </pic:spPr>
                </pic:pic>
              </a:graphicData>
            </a:graphic>
          </wp:inline>
        </w:drawing>
      </w:r>
    </w:p>
    <w:p>
      <w:pPr>
        <w:pStyle w:val="Caption"/>
        <w:jc w:val="center"/>
      </w:pPr>
      <w:r>
        <w:rPr/>
        <w:t>The Stakeholder card shows the role, its ability and three medal conditions.</w:t>
      </w:r>
    </w:p>
    <w:p>
      <w:pPr>
        <w:pStyle w:val="Titolo2"/>
      </w:pPr>
      <w:r>
        <w:rPr/>
        <w:t>Keep the island alive</w:t>
      </w:r>
    </w:p>
    <w:p>
      <w:pPr/>
      <w:r>
        <w:rPr/>
        <w:t xml:space="preserve">If Happiness, Wealth or Population reaches </w:t>
      </w:r>
      <w:r>
        <w:rPr>
          <w:b/>
        </w:rPr>
        <w:t>0</w:t>
      </w:r>
      <w:r>
        <w:rPr/>
        <w:t>, everyone loses, including in year 6. Apply protection or a timely rescue before moving the affected marker; later effects cannot reverse a resolved defeat.</w:t>
      </w:r>
    </w:p>
    <w:p>
      <w:pPr/>
      <w:r>
        <w:rPr/>
        <w:t>After collecting turn 6 income, check medals with that turn’s temporary bonuses still active. Each Stakeholder earns the highest medal whose conditions they meet. All holders of the highest earned medal win together. If nobody earns a medal, the island survives but there is no individual winner.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2324"/>
        <w:gridCol w:w="2324"/>
        <w:gridCol w:w="2324"/>
      </w:tblGrid>
      <w:tr>
        <w:trPr>
          <w:cantSplit/>
          <w:tblHeader/>
        </w:trPr>
        <w:tc>
          <w:tcPr>
            <w:tcW w:type="dxa" w:w="2551"/>
            <w:vAlign w:val="center"/>
            <w:shd w:fill="147D83"/>
            <w:tcMar>
              <w:top w:w="75" w:type="dxa"/>
              <w:bottom w:w="75" w:type="dxa"/>
              <w:left w:w="90" w:type="dxa"/>
              <w:right w:w="90" w:type="dxa"/>
            </w:tcMar>
          </w:tcPr>
          <w:p>
            <w:pPr>
              <w:spacing w:after="0" w:line="247" w:lineRule="auto"/>
            </w:pPr>
            <w:r>
              <w:rPr>
                <w:b/>
                <w:color w:val="FFFFFF"/>
                <w:sz w:val="19"/>
              </w:rPr>
              <w:t>Stakeholder</w:t>
            </w:r>
          </w:p>
        </w:tc>
        <w:tc>
          <w:tcPr>
            <w:tcW w:type="dxa" w:w="2324"/>
            <w:vAlign w:val="center"/>
            <w:shd w:fill="147D83"/>
            <w:tcMar>
              <w:top w:w="75" w:type="dxa"/>
              <w:bottom w:w="75" w:type="dxa"/>
              <w:left w:w="90" w:type="dxa"/>
              <w:right w:w="90" w:type="dxa"/>
            </w:tcMar>
          </w:tcPr>
          <w:p>
            <w:pPr>
              <w:spacing w:after="0" w:line="247" w:lineRule="auto"/>
              <w:jc w:val="center"/>
            </w:pPr>
            <w:r>
              <w:rPr>
                <w:b/>
                <w:color w:val="FFFFFF"/>
                <w:sz w:val="19"/>
              </w:rPr>
              <w:t>Bronze</w:t>
            </w:r>
          </w:p>
        </w:tc>
        <w:tc>
          <w:tcPr>
            <w:tcW w:type="dxa" w:w="2324"/>
            <w:vAlign w:val="center"/>
            <w:shd w:fill="147D83"/>
            <w:tcMar>
              <w:top w:w="75" w:type="dxa"/>
              <w:bottom w:w="75" w:type="dxa"/>
              <w:left w:w="90" w:type="dxa"/>
              <w:right w:w="90" w:type="dxa"/>
            </w:tcMar>
          </w:tcPr>
          <w:p>
            <w:pPr>
              <w:spacing w:after="0" w:line="247" w:lineRule="auto"/>
              <w:jc w:val="center"/>
            </w:pPr>
            <w:r>
              <w:rPr>
                <w:b/>
                <w:color w:val="FFFFFF"/>
                <w:sz w:val="19"/>
              </w:rPr>
              <w:t>Silver</w:t>
            </w:r>
          </w:p>
        </w:tc>
        <w:tc>
          <w:tcPr>
            <w:tcW w:type="dxa" w:w="2324"/>
            <w:vAlign w:val="center"/>
            <w:shd w:fill="147D83"/>
            <w:tcMar>
              <w:top w:w="75" w:type="dxa"/>
              <w:bottom w:w="75" w:type="dxa"/>
              <w:left w:w="90" w:type="dxa"/>
              <w:right w:w="90" w:type="dxa"/>
            </w:tcMar>
          </w:tcPr>
          <w:p>
            <w:pPr>
              <w:spacing w:after="0" w:line="247" w:lineRule="auto"/>
              <w:jc w:val="center"/>
            </w:pPr>
            <w:r>
              <w:rPr>
                <w:b/>
                <w:color w:val="FFFFFF"/>
                <w:sz w:val="19"/>
              </w:rPr>
              <w:t>Gold</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Citizenship</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Happiness ≥ 35</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Happiness ≥ 40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Happiness ≥ 45</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Scientists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Forecast ≥ 4</w:t>
              <w:br/>
              <w:t>in 1 hazard</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Forecast ≥ 4</w:t>
              <w:br/>
              <w:t>in 2 hazards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Forecast ≥ 4</w:t>
              <w:br/>
              <w:t>in all 3</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Local Government</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Wealth ≥ 10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Wealth ≥ 15</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Wealth ≥ 25</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Mass Media</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Population ≥ 40</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Population ≥ 50</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Population ≥ 60</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Ministry of Finance</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Treasury ≥ 250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Treasury ≥ 300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Treasury ≥ 350</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Ministry of Infrastructure</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Mitigation ≥ 3</w:t>
              <w:br/>
              <w:t>in 1 hazard</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Mitigation ≥ 3</w:t>
              <w:br/>
              <w:t>in 2 hazards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Mitigation ≥ 3</w:t>
              <w:br/>
              <w:t>in all 3</w:t>
            </w:r>
          </w:p>
        </w:tc>
      </w:tr>
      <w:tr>
        <w:trPr>
          <w:cantSplit/>
        </w:trPr>
        <w:tc>
          <w:tcPr>
            <w:tcW w:type="dxa" w:w="2551"/>
            <w:vAlign w:val="center"/>
            <w:shd w:fill="FFFFFF"/>
            <w:tcMar>
              <w:top w:w="75" w:type="dxa"/>
              <w:bottom w:w="75" w:type="dxa"/>
              <w:left w:w="90" w:type="dxa"/>
              <w:right w:w="90" w:type="dxa"/>
            </w:tcMar>
          </w:tcPr>
          <w:p>
            <w:pPr>
              <w:spacing w:after="0" w:line="247" w:lineRule="auto"/>
            </w:pPr>
            <w:r>
              <w:rPr>
                <w:b w:val="0"/>
                <w:color w:val="202B32"/>
                <w:sz w:val="19"/>
              </w:rPr>
              <w:t>Civil Protection</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Population ≥ 40</w:t>
              <w:br/>
              <w:t>and Wealth ≥ 5</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Population ≥ 45</w:t>
              <w:br/>
              <w:t>and Wealth ≥ 10</w:t>
            </w:r>
          </w:p>
        </w:tc>
        <w:tc>
          <w:tcPr>
            <w:tcW w:type="dxa" w:w="2324"/>
            <w:vAlign w:val="center"/>
            <w:shd w:fill="FFFFFF"/>
            <w:tcMar>
              <w:top w:w="75" w:type="dxa"/>
              <w:bottom w:w="75" w:type="dxa"/>
              <w:left w:w="90" w:type="dxa"/>
              <w:right w:w="90" w:type="dxa"/>
            </w:tcMar>
          </w:tcPr>
          <w:p>
            <w:pPr>
              <w:spacing w:after="0" w:line="247" w:lineRule="auto"/>
              <w:jc w:val="center"/>
            </w:pPr>
            <w:r>
              <w:rPr>
                <w:b w:val="0"/>
                <w:color w:val="202B32"/>
                <w:sz w:val="19"/>
              </w:rPr>
              <w:t>Population ≥ 50</w:t>
              <w:br/>
              <w:t>and Wealth ≥ 15</w:t>
            </w:r>
          </w:p>
        </w:tc>
      </w:tr>
      <w:tr>
        <w:trPr>
          <w:cantSplit/>
        </w:trPr>
        <w:tc>
          <w:tcPr>
            <w:tcW w:type="dxa" w:w="2551"/>
            <w:vAlign w:val="center"/>
            <w:shd w:fill="F0F6F7"/>
            <w:tcMar>
              <w:top w:w="75" w:type="dxa"/>
              <w:bottom w:w="75" w:type="dxa"/>
              <w:left w:w="90" w:type="dxa"/>
              <w:right w:w="90" w:type="dxa"/>
            </w:tcMar>
          </w:tcPr>
          <w:p>
            <w:pPr>
              <w:spacing w:after="0" w:line="247" w:lineRule="auto"/>
            </w:pPr>
            <w:r>
              <w:rPr>
                <w:b w:val="0"/>
                <w:color w:val="202B32"/>
                <w:sz w:val="19"/>
              </w:rPr>
              <w:t>Firefighters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Response ≥ 5</w:t>
              <w:br/>
              <w:t>in 1 hazard</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Response ≥ 5</w:t>
              <w:br/>
              <w:t>in 2 hazards</w:t>
            </w:r>
          </w:p>
        </w:tc>
        <w:tc>
          <w:tcPr>
            <w:tcW w:type="dxa" w:w="2324"/>
            <w:vAlign w:val="center"/>
            <w:shd w:fill="F0F6F7"/>
            <w:tcMar>
              <w:top w:w="75" w:type="dxa"/>
              <w:bottom w:w="75" w:type="dxa"/>
              <w:left w:w="90" w:type="dxa"/>
              <w:right w:w="90" w:type="dxa"/>
            </w:tcMar>
          </w:tcPr>
          <w:p>
            <w:pPr>
              <w:spacing w:after="0" w:line="247" w:lineRule="auto"/>
              <w:jc w:val="center"/>
            </w:pPr>
            <w:r>
              <w:rPr>
                <w:b w:val="0"/>
                <w:color w:val="202B32"/>
                <w:sz w:val="19"/>
              </w:rPr>
              <w:t>Response ≥ 5</w:t>
              <w:br/>
              <w:t>in all 3</w:t>
            </w:r>
          </w:p>
        </w:tc>
      </w:tr>
    </w:tbl>
    <w:p>
      <w:pPr>
        <w:spacing w:after="0" w:before="0" w:line="96" w:lineRule="auto"/>
      </w:pPr>
    </w:p>
    <w:p>
      <w:pPr/>
      <w:r>
        <w:rPr/>
        <w:t xml:space="preserve">Treasury values are in Geuros. Meet </w:t>
      </w:r>
      <w:r>
        <w:rPr>
          <w:b/>
        </w:rPr>
        <w:t>both</w:t>
      </w:r>
      <w:r>
        <w:rPr/>
        <w:t xml:space="preserve"> conditions where two are listed. Count each hazard board separately for Forecast, Mitigation and Response.</w:t>
      </w:r>
    </w:p>
    <w:p>
      <w:pPr>
        <w:pStyle w:val="Titolo1"/>
        <w:pageBreakBefore/>
      </w:pPr>
      <w:r>
        <w:rPr>
          <w:color w:val="147D83"/>
        </w:rPr>
        <w:t>The Action phase</w:t>
      </w:r>
    </w:p>
    <w:p>
      <w:pPr/>
      <w:r>
        <w:rPr/>
        <w:t xml:space="preserve">Each year begins with decisions and investments. Normally, the island can fund </w:t>
      </w:r>
      <w:r>
        <w:rPr>
          <w:b/>
        </w:rPr>
        <w:t>up to two Action cards</w:t>
      </w:r>
      <w:r>
        <w:rPr/>
        <w:t>. A special ability may change this limit.</w:t>
      </w:r>
    </w:p>
    <w:p>
      <w:pPr>
        <w:pStyle w:val="Titolo2"/>
      </w:pPr>
      <w:r>
        <w:rPr/>
        <w:t>Begin the year</w:t>
      </w:r>
    </w:p>
    <w:p>
      <w:pPr/>
      <w:r>
        <w:rPr/>
        <w:t xml:space="preserve">Activate cards scheduled for this year. In years </w:t>
      </w:r>
      <w:r>
        <w:rPr>
          <w:b/>
        </w:rPr>
        <w:t>2–6</w:t>
      </w:r>
      <w:r>
        <w:rPr/>
        <w:t xml:space="preserve">, each Stakeholder draws </w:t>
      </w:r>
      <w:r>
        <w:rPr>
          <w:b/>
        </w:rPr>
        <w:t>1 Action card</w:t>
      </w:r>
      <w:r>
        <w:rPr/>
        <w:t>. Do not draw in year 1: use the three setup cards. Put excess cards of your choice on the bottom of your deck until you have at most three.</w:t>
      </w:r>
    </w:p>
    <w:p>
      <w:pPr>
        <w:pStyle w:val="Titolo2"/>
      </w:pPr>
      <w:r>
        <w:rPr/>
        <w:t>Propose</w:t>
      </w:r>
    </w:p>
    <w:p>
      <w:pPr/>
      <w:r>
        <w:rPr/>
        <w:t xml:space="preserve">Clockwise from the starting Stakeholder, each proposes </w:t>
      </w:r>
      <w:r>
        <w:rPr>
          <w:b/>
        </w:rPr>
        <w:t>one card face up</w:t>
      </w:r>
      <w:r>
        <w:rPr/>
        <w:t xml:space="preserve"> or passes. Discuss cost, effects and implementation time. Hands and abilities may be shared openly. Money belongs to the island, not to individual players.</w:t>
      </w:r>
    </w:p>
    <w:p>
      <w:pPr>
        <w:pStyle w:val="Titolo2"/>
      </w:pPr>
      <w:r>
        <w:rPr/>
        <w:t>Vote</w:t>
      </w:r>
    </w:p>
    <w:p>
      <w:pPr/>
      <w:r>
        <w:rPr/>
        <w:t xml:space="preserve">Each Stakeholder casts </w:t>
      </w:r>
      <w:r>
        <w:rPr>
          <w:b/>
        </w:rPr>
        <w:t>one vote for another Stakeholder’s proposal</w:t>
      </w:r>
      <w:r>
        <w:rPr/>
        <w:t xml:space="preserve">. You cannot vote for your own. The </w:t>
      </w:r>
      <w:r>
        <w:rPr>
          <w:b/>
        </w:rPr>
        <w:t>two highest-voted cards</w:t>
      </w:r>
      <w:r>
        <w:rPr/>
        <w:t xml:space="preserve"> are selected. With unanimous agreement, select the cards directly instead of placing vote tokens.</w:t>
      </w:r>
    </w:p>
    <w:p>
      <w:pPr/>
      <w:r>
        <w:rPr/>
        <w:t xml:space="preserve">If a tie affects a funding slot, vote again among the tied cards. If they are still tied, choose the </w:t>
      </w:r>
      <w:r>
        <w:rPr>
          <w:b/>
        </w:rPr>
        <w:t>cheapest</w:t>
      </w:r>
      <w:r>
        <w:rPr/>
        <w:t>, then draw lots if costs also match. Two cards tied for first can both be selected without a runoff.</w:t>
      </w:r>
    </w:p>
    <w:p>
      <w:pPr>
        <w:pStyle w:val="Titolo2"/>
      </w:pPr>
      <w:r>
        <w:rPr/>
        <w:t>Fund</w:t>
      </w:r>
    </w:p>
    <w:p>
      <w:pPr/>
      <w:r>
        <w:rPr/>
        <w:t>Apply cost-changing effects, then pay from the common treasury. If funds cannot cover the selected cards, give priority to the higher-voted proposal and replace an unaffordable card with the next affordable proposal in vote order. Fund fewer cards when necessary.</w:t>
      </w:r>
    </w:p>
    <w:p>
      <w:pPr/>
      <w:r>
        <w:rPr/>
        <w:t>The group chooses the order of affordable actions. Money explicitly gained immediately is available in this phase and may make another selected card affordable. It does not add a funding slot. Unfunded proposals return to their owners’ hands.</w:t>
      </w:r>
    </w:p>
    <w:p>
      <w:pPr>
        <w:pStyle w:val="Titolo2"/>
      </w:pPr>
      <w:r>
        <w:rPr/>
        <w:t>Hands and discarded cards</w:t>
      </w:r>
    </w:p>
    <w:p>
      <w:pPr/>
      <w:r>
        <w:rPr/>
        <w:t xml:space="preserve">All discarded cards go on the </w:t>
      </w:r>
      <w:r>
        <w:rPr>
          <w:b/>
        </w:rPr>
        <w:t>bottom of their owner’s Action deck</w:t>
      </w:r>
      <w:r>
        <w:rPr/>
        <w:t>, including cards discarded to pay for abilities. They are not shuffled. Keep funded cards and cards awaiting implementation out of the draw deck. If your deck is empty, you draw nothing.</w:t>
      </w:r>
    </w:p>
    <w:p>
      <w:pPr/>
      <w:r>
        <w:rPr/>
        <w:t>A proposed card is no longer in your hand. Before voting starts, you may withdraw your proposal to pay an ability cost; you then make no proposal that year. After funding, returned proposals may pay for abilities due later in the turn.</w:t>
      </w:r>
    </w:p>
    <w:p>
      <w:pPr>
        <w:pStyle w:val="Titolo1"/>
        <w:pageBreakBefore/>
      </w:pPr>
      <w:r>
        <w:rPr>
          <w:color w:val="147D83"/>
        </w:rPr>
        <w:t>Action cards and the Timeline</w:t>
      </w:r>
    </w:p>
    <w:p>
      <w:pPr>
        <w:keepNext/>
        <w:jc w:val="center"/>
      </w:pPr>
      <w:r>
        <w:drawing>
          <wp:inline xmlns:a="http://schemas.openxmlformats.org/drawingml/2006/main" xmlns:pic="http://schemas.openxmlformats.org/drawingml/2006/picture">
            <wp:extent cx="2088000" cy="2948738"/>
            <wp:docPr id="15" name="Picture 15" descr="research"/>
            <wp:cNvGraphicFramePr>
              <a:graphicFrameLocks noChangeAspect="1"/>
            </wp:cNvGraphicFramePr>
            <a:graphic>
              <a:graphicData uri="http://schemas.openxmlformats.org/drawingml/2006/picture">
                <pic:pic>
                  <pic:nvPicPr>
                    <pic:cNvPr id="0" name="research.png"/>
                    <pic:cNvPicPr/>
                  </pic:nvPicPr>
                  <pic:blipFill>
                    <a:blip r:embed="rId30"/>
                    <a:stretch>
                      <a:fillRect/>
                    </a:stretch>
                  </pic:blipFill>
                  <pic:spPr>
                    <a:xfrm>
                      <a:off x="0" y="0"/>
                      <a:ext cx="2088000" cy="2948738"/>
                    </a:xfrm>
                    <a:prstGeom prst="rect"/>
                  </pic:spPr>
                </pic:pic>
              </a:graphicData>
            </a:graphic>
          </wp:inline>
        </w:drawing>
      </w:r>
      <w:r>
        <w:t xml:space="preserve">   </w:t>
      </w:r>
      <w:r>
        <w:drawing>
          <wp:inline xmlns:a="http://schemas.openxmlformats.org/drawingml/2006/main" xmlns:pic="http://schemas.openxmlformats.org/drawingml/2006/picture">
            <wp:extent cx="2951999" cy="2492219"/>
            <wp:docPr id="16" name="Picture 16" descr="timeline"/>
            <wp:cNvGraphicFramePr>
              <a:graphicFrameLocks noChangeAspect="1"/>
            </wp:cNvGraphicFramePr>
            <a:graphic>
              <a:graphicData uri="http://schemas.openxmlformats.org/drawingml/2006/picture">
                <pic:pic>
                  <pic:nvPicPr>
                    <pic:cNvPr id="0" name="timeline.png"/>
                    <pic:cNvPicPr/>
                  </pic:nvPicPr>
                  <pic:blipFill>
                    <a:blip r:embed="rId31"/>
                    <a:stretch>
                      <a:fillRect/>
                    </a:stretch>
                  </pic:blipFill>
                  <pic:spPr>
                    <a:xfrm>
                      <a:off x="0" y="0"/>
                      <a:ext cx="2951999" cy="2492219"/>
                    </a:xfrm>
                    <a:prstGeom prst="rect"/>
                  </pic:spPr>
                </pic:pic>
              </a:graphicData>
            </a:graphic>
          </wp:inline>
        </w:drawing>
      </w:r>
    </w:p>
    <w:p>
      <w:pPr>
        <w:pStyle w:val="Caption"/>
        <w:jc w:val="center"/>
      </w:pPr>
      <w:r>
        <w:rPr/>
        <w:t>An Action card and the six-year Timeline.</w:t>
      </w:r>
    </w:p>
    <w:p>
      <w:pPr>
        <w:pStyle w:val="Titolo2"/>
      </w:pPr>
      <w:r>
        <w:rPr/>
        <w:t>Read the card</w:t>
      </w:r>
    </w:p>
    <w:p>
      <w:pPr/>
      <w:r>
        <w:rPr/>
        <w:t xml:space="preserve">The </w:t>
      </w:r>
      <w:r>
        <w:rPr>
          <w:b/>
        </w:rPr>
        <w:t>clock</w:t>
      </w:r>
      <w:r>
        <w:rPr/>
        <w:t xml:space="preserve"> gives implementation time; the </w:t>
      </w:r>
      <w:r>
        <w:rPr>
          <w:b/>
        </w:rPr>
        <w:t>Geuros symbol</w:t>
      </w:r>
      <w:r>
        <w:rPr/>
        <w:t xml:space="preserve"> gives the cost. Use the printed hazard columns and statistic labels to apply each change. Blank cells make no change. Read any instructions on the card when playing it.</w:t>
      </w:r>
    </w:p>
    <w:p>
      <w:pPr>
        <w:jc w:val="center"/>
      </w:pPr>
      <w:r>
        <w:drawing>
          <wp:inline xmlns:a="http://schemas.openxmlformats.org/drawingml/2006/main" xmlns:pic="http://schemas.openxmlformats.org/drawingml/2006/picture">
            <wp:extent cx="251999" cy="261930"/>
            <wp:docPr id="17" name="Picture 17" descr="floods"/>
            <wp:cNvGraphicFramePr>
              <a:graphicFrameLocks noChangeAspect="1"/>
            </wp:cNvGraphicFramePr>
            <a:graphic>
              <a:graphicData uri="http://schemas.openxmlformats.org/drawingml/2006/picture">
                <pic:pic>
                  <pic:nvPicPr>
                    <pic:cNvPr id="0" name="floods.png"/>
                    <pic:cNvPicPr/>
                  </pic:nvPicPr>
                  <pic:blipFill>
                    <a:blip r:embed="rId21"/>
                    <a:stretch>
                      <a:fillRect/>
                    </a:stretch>
                  </pic:blipFill>
                  <pic:spPr>
                    <a:xfrm>
                      <a:off x="0" y="0"/>
                      <a:ext cx="251999" cy="261930"/>
                    </a:xfrm>
                    <a:prstGeom prst="rect"/>
                  </pic:spPr>
                </pic:pic>
              </a:graphicData>
            </a:graphic>
          </wp:inline>
        </w:drawing>
      </w:r>
      <w:r>
        <w:t xml:space="preserve">  Floods     </w:t>
      </w:r>
      <w:r>
        <w:drawing>
          <wp:inline xmlns:a="http://schemas.openxmlformats.org/drawingml/2006/main" xmlns:pic="http://schemas.openxmlformats.org/drawingml/2006/picture">
            <wp:extent cx="306000" cy="225654"/>
            <wp:docPr id="18" name="Picture 18" descr="landslides"/>
            <wp:cNvGraphicFramePr>
              <a:graphicFrameLocks noChangeAspect="1"/>
            </wp:cNvGraphicFramePr>
            <a:graphic>
              <a:graphicData uri="http://schemas.openxmlformats.org/drawingml/2006/picture">
                <pic:pic>
                  <pic:nvPicPr>
                    <pic:cNvPr id="0" name="landslides.png"/>
                    <pic:cNvPicPr/>
                  </pic:nvPicPr>
                  <pic:blipFill>
                    <a:blip r:embed="rId22"/>
                    <a:stretch>
                      <a:fillRect/>
                    </a:stretch>
                  </pic:blipFill>
                  <pic:spPr>
                    <a:xfrm>
                      <a:off x="0" y="0"/>
                      <a:ext cx="306000" cy="225654"/>
                    </a:xfrm>
                    <a:prstGeom prst="rect"/>
                  </pic:spPr>
                </pic:pic>
              </a:graphicData>
            </a:graphic>
          </wp:inline>
        </w:drawing>
      </w:r>
      <w:r>
        <w:t xml:space="preserve">  Landslides     </w:t>
      </w:r>
      <w:r>
        <w:drawing>
          <wp:inline xmlns:a="http://schemas.openxmlformats.org/drawingml/2006/main" xmlns:pic="http://schemas.openxmlformats.org/drawingml/2006/picture">
            <wp:extent cx="251999" cy="255444"/>
            <wp:docPr id="19" name="Picture 19" descr="earthquakes"/>
            <wp:cNvGraphicFramePr>
              <a:graphicFrameLocks noChangeAspect="1"/>
            </wp:cNvGraphicFramePr>
            <a:graphic>
              <a:graphicData uri="http://schemas.openxmlformats.org/drawingml/2006/picture">
                <pic:pic>
                  <pic:nvPicPr>
                    <pic:cNvPr id="0" name="earthquakes.png"/>
                    <pic:cNvPicPr/>
                  </pic:nvPicPr>
                  <pic:blipFill>
                    <a:blip r:embed="rId23"/>
                    <a:stretch>
                      <a:fillRect/>
                    </a:stretch>
                  </pic:blipFill>
                  <pic:spPr>
                    <a:xfrm>
                      <a:off x="0" y="0"/>
                      <a:ext cx="251999" cy="255444"/>
                    </a:xfrm>
                    <a:prstGeom prst="rect"/>
                  </pic:spPr>
                </pic:pic>
              </a:graphicData>
            </a:graphic>
          </wp:inline>
        </w:drawing>
      </w:r>
      <w:r>
        <w:t xml:space="preserve">  Earthquakes     </w:t>
      </w:r>
    </w:p>
    <w:p>
      <w:pPr/>
      <w:r>
        <w:drawing>
          <wp:inline xmlns:a="http://schemas.openxmlformats.org/drawingml/2006/main" xmlns:pic="http://schemas.openxmlformats.org/drawingml/2006/picture">
            <wp:extent cx="216000" cy="194494"/>
            <wp:docPr id="20" name="Picture 20" descr="health"/>
            <wp:cNvGraphicFramePr>
              <a:graphicFrameLocks noChangeAspect="1"/>
            </wp:cNvGraphicFramePr>
            <a:graphic>
              <a:graphicData uri="http://schemas.openxmlformats.org/drawingml/2006/picture">
                <pic:pic>
                  <pic:nvPicPr>
                    <pic:cNvPr id="0" name="health.png"/>
                    <pic:cNvPicPr/>
                  </pic:nvPicPr>
                  <pic:blipFill>
                    <a:blip r:embed="rId16"/>
                    <a:stretch>
                      <a:fillRect/>
                    </a:stretch>
                  </pic:blipFill>
                  <pic:spPr>
                    <a:xfrm>
                      <a:off x="0" y="0"/>
                      <a:ext cx="216000" cy="194494"/>
                    </a:xfrm>
                    <a:prstGeom prst="rect"/>
                  </pic:spPr>
                </pic:pic>
              </a:graphicData>
            </a:graphic>
          </wp:inline>
        </w:drawing>
      </w:r>
      <w:r>
        <w:t xml:space="preserve">  </w:t>
      </w:r>
      <w:r>
        <w:rPr>
          <w:b/>
        </w:rPr>
        <w:t>Island health</w:t>
      </w:r>
      <w:r>
        <w:rPr/>
        <w:t xml:space="preserve"> groups Happiness, Wealth and Population.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34"/>
        <w:gridCol w:w="3628"/>
        <w:gridCol w:w="1134"/>
        <w:gridCol w:w="3628"/>
      </w:tblGrid>
      <w:tr>
        <w:trPr>
          <w:cantSplit/>
          <w:tblHeader/>
        </w:trPr>
        <w:tc>
          <w:tcPr>
            <w:tcW w:type="dxa" w:w="1134"/>
            <w:vAlign w:val="center"/>
            <w:shd w:fill="147D83"/>
            <w:tcMar>
              <w:top w:w="75" w:type="dxa"/>
              <w:bottom w:w="75" w:type="dxa"/>
              <w:left w:w="90" w:type="dxa"/>
              <w:right w:w="90" w:type="dxa"/>
            </w:tcMar>
          </w:tcPr>
          <w:p>
            <w:pPr>
              <w:spacing w:after="0" w:line="247" w:lineRule="auto"/>
            </w:pPr>
            <w:r>
              <w:rPr>
                <w:b/>
                <w:color w:val="FFFFFF"/>
                <w:sz w:val="22"/>
              </w:rPr>
            </w:r>
          </w:p>
        </w:tc>
        <w:tc>
          <w:tcPr>
            <w:tcW w:type="dxa" w:w="3628"/>
            <w:vAlign w:val="center"/>
            <w:shd w:fill="147D83"/>
            <w:tcMar>
              <w:top w:w="75" w:type="dxa"/>
              <w:bottom w:w="75" w:type="dxa"/>
              <w:left w:w="90" w:type="dxa"/>
              <w:right w:w="90" w:type="dxa"/>
            </w:tcMar>
          </w:tcPr>
          <w:p>
            <w:pPr>
              <w:spacing w:after="0" w:line="247" w:lineRule="auto"/>
              <w:jc w:val="center"/>
            </w:pPr>
            <w:r>
              <w:rPr>
                <w:b/>
                <w:color w:val="FFFFFF"/>
                <w:sz w:val="22"/>
              </w:rPr>
              <w:t>Island changes</w:t>
            </w:r>
          </w:p>
        </w:tc>
        <w:tc>
          <w:tcPr>
            <w:tcW w:type="dxa" w:w="1134"/>
            <w:vAlign w:val="center"/>
            <w:shd w:fill="147D83"/>
            <w:tcMar>
              <w:top w:w="75" w:type="dxa"/>
              <w:bottom w:w="75" w:type="dxa"/>
              <w:left w:w="90" w:type="dxa"/>
              <w:right w:w="90" w:type="dxa"/>
            </w:tcMar>
          </w:tcPr>
          <w:p>
            <w:pPr>
              <w:spacing w:after="0" w:line="247" w:lineRule="auto"/>
              <w:jc w:val="center"/>
            </w:pPr>
            <w:r>
              <w:rPr>
                <w:b/>
                <w:color w:val="FFFFFF"/>
                <w:sz w:val="22"/>
              </w:rPr>
            </w:r>
          </w:p>
        </w:tc>
        <w:tc>
          <w:tcPr>
            <w:tcW w:type="dxa" w:w="3628"/>
            <w:vAlign w:val="center"/>
            <w:shd w:fill="147D83"/>
            <w:tcMar>
              <w:top w:w="75" w:type="dxa"/>
              <w:bottom w:w="75" w:type="dxa"/>
              <w:left w:w="90" w:type="dxa"/>
              <w:right w:w="90" w:type="dxa"/>
            </w:tcMar>
          </w:tcPr>
          <w:p>
            <w:pPr>
              <w:spacing w:after="0" w:line="247" w:lineRule="auto"/>
              <w:jc w:val="center"/>
            </w:pPr>
            <w:r>
              <w:rPr>
                <w:b/>
                <w:color w:val="FFFFFF"/>
                <w:sz w:val="22"/>
              </w:rPr>
              <w:t>Defence changes</w:t>
            </w:r>
          </w:p>
        </w:tc>
      </w:tr>
      <w:tr>
        <w:trPr>
          <w:cantSplit/>
        </w:trPr>
        <w:tc>
          <w:tcPr>
            <w:tcW w:type="dxa" w:w="1134"/>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42000" cy="186907"/>
                  <wp:docPr id="21" name="Picture 21" descr="HAP"/>
                  <wp:cNvGraphicFramePr>
                    <a:graphicFrameLocks noChangeAspect="1"/>
                  </wp:cNvGraphicFramePr>
                  <a:graphic>
                    <a:graphicData uri="http://schemas.openxmlformats.org/drawingml/2006/picture">
                      <pic:pic>
                        <pic:nvPicPr>
                          <pic:cNvPr id="0" name="HAP.png"/>
                          <pic:cNvPicPr/>
                        </pic:nvPicPr>
                        <pic:blipFill>
                          <a:blip r:embed="rId17"/>
                          <a:stretch>
                            <a:fillRect/>
                          </a:stretch>
                        </pic:blipFill>
                        <pic:spPr>
                          <a:xfrm>
                            <a:off x="0" y="0"/>
                            <a:ext cx="342000" cy="186907"/>
                          </a:xfrm>
                          <a:prstGeom prst="rect"/>
                        </pic:spPr>
                      </pic:pic>
                    </a:graphicData>
                  </a:graphic>
                </wp:inline>
              </w:drawing>
            </w:r>
          </w:p>
        </w:tc>
        <w:tc>
          <w:tcPr>
            <w:tcW w:type="dxa" w:w="3628"/>
            <w:vAlign w:val="center"/>
            <w:shd w:fill="FFFFFF"/>
            <w:tcMar>
              <w:top w:w="75" w:type="dxa"/>
              <w:bottom w:w="75" w:type="dxa"/>
              <w:left w:w="90" w:type="dxa"/>
              <w:right w:w="90" w:type="dxa"/>
            </w:tcMar>
          </w:tcPr>
          <w:p>
            <w:pPr>
              <w:spacing w:after="0" w:line="247" w:lineRule="auto"/>
              <w:jc w:val="center"/>
            </w:pPr>
            <w:r>
              <w:rPr>
                <w:b w:val="0"/>
                <w:color w:val="202B32"/>
                <w:sz w:val="22"/>
              </w:rPr>
              <w:t>Happiness</w:t>
            </w:r>
          </w:p>
        </w:tc>
        <w:tc>
          <w:tcPr>
            <w:tcW w:type="dxa" w:w="1134"/>
            <w:vAlign w:val="center"/>
            <w:shd w:fill="FFFFFF"/>
            <w:tcMar>
              <w:top w:w="75" w:type="dxa"/>
              <w:bottom w:w="75" w:type="dxa"/>
              <w:left w:w="90" w:type="dxa"/>
              <w:right w:w="90" w:type="dxa"/>
            </w:tcMar>
          </w:tcPr>
          <w:p>
            <w:pPr>
              <w:spacing w:after="0" w:line="247" w:lineRule="auto"/>
              <w:jc w:val="center"/>
            </w:pPr>
            <w:r>
              <w:drawing>
                <wp:inline xmlns:a="http://schemas.openxmlformats.org/drawingml/2006/main" xmlns:pic="http://schemas.openxmlformats.org/drawingml/2006/picture">
                  <wp:extent cx="342000" cy="203352"/>
                  <wp:docPr id="22" name="Picture 22" descr="FOR"/>
                  <wp:cNvGraphicFramePr>
                    <a:graphicFrameLocks noChangeAspect="1"/>
                  </wp:cNvGraphicFramePr>
                  <a:graphic>
                    <a:graphicData uri="http://schemas.openxmlformats.org/drawingml/2006/picture">
                      <pic:pic>
                        <pic:nvPicPr>
                          <pic:cNvPr id="0" name="FOR.png"/>
                          <pic:cNvPicPr/>
                        </pic:nvPicPr>
                        <pic:blipFill>
                          <a:blip r:embed="rId24"/>
                          <a:stretch>
                            <a:fillRect/>
                          </a:stretch>
                        </pic:blipFill>
                        <pic:spPr>
                          <a:xfrm>
                            <a:off x="0" y="0"/>
                            <a:ext cx="342000" cy="203352"/>
                          </a:xfrm>
                          <a:prstGeom prst="rect"/>
                        </pic:spPr>
                      </pic:pic>
                    </a:graphicData>
                  </a:graphic>
                </wp:inline>
              </w:drawing>
            </w:r>
          </w:p>
        </w:tc>
        <w:tc>
          <w:tcPr>
            <w:tcW w:type="dxa" w:w="3628"/>
            <w:vAlign w:val="center"/>
            <w:shd w:fill="FFFFFF"/>
            <w:tcMar>
              <w:top w:w="75" w:type="dxa"/>
              <w:bottom w:w="75" w:type="dxa"/>
              <w:left w:w="90" w:type="dxa"/>
              <w:right w:w="90" w:type="dxa"/>
            </w:tcMar>
          </w:tcPr>
          <w:p>
            <w:pPr>
              <w:spacing w:after="0" w:line="247" w:lineRule="auto"/>
              <w:jc w:val="center"/>
            </w:pPr>
            <w:r>
              <w:rPr>
                <w:b w:val="0"/>
                <w:color w:val="202B32"/>
                <w:sz w:val="22"/>
              </w:rPr>
              <w:t>Forecast</w:t>
            </w:r>
          </w:p>
        </w:tc>
      </w:tr>
      <w:tr>
        <w:trPr>
          <w:cantSplit/>
        </w:trPr>
        <w:tc>
          <w:tcPr>
            <w:tcW w:type="dxa" w:w="1134"/>
            <w:vAlign w:val="center"/>
            <w:shd w:fill="F0F6F7"/>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42000" cy="189106"/>
                  <wp:docPr id="23" name="Picture 23" descr="WEA"/>
                  <wp:cNvGraphicFramePr>
                    <a:graphicFrameLocks noChangeAspect="1"/>
                  </wp:cNvGraphicFramePr>
                  <a:graphic>
                    <a:graphicData uri="http://schemas.openxmlformats.org/drawingml/2006/picture">
                      <pic:pic>
                        <pic:nvPicPr>
                          <pic:cNvPr id="0" name="WEA.png"/>
                          <pic:cNvPicPr/>
                        </pic:nvPicPr>
                        <pic:blipFill>
                          <a:blip r:embed="rId18"/>
                          <a:stretch>
                            <a:fillRect/>
                          </a:stretch>
                        </pic:blipFill>
                        <pic:spPr>
                          <a:xfrm>
                            <a:off x="0" y="0"/>
                            <a:ext cx="342000" cy="189106"/>
                          </a:xfrm>
                          <a:prstGeom prst="rect"/>
                        </pic:spPr>
                      </pic:pic>
                    </a:graphicData>
                  </a:graphic>
                </wp:inline>
              </w:drawing>
            </w:r>
          </w:p>
        </w:tc>
        <w:tc>
          <w:tcPr>
            <w:tcW w:type="dxa" w:w="3628"/>
            <w:vAlign w:val="center"/>
            <w:shd w:fill="F0F6F7"/>
            <w:tcMar>
              <w:top w:w="75" w:type="dxa"/>
              <w:bottom w:w="75" w:type="dxa"/>
              <w:left w:w="90" w:type="dxa"/>
              <w:right w:w="90" w:type="dxa"/>
            </w:tcMar>
          </w:tcPr>
          <w:p>
            <w:pPr>
              <w:spacing w:after="0" w:line="247" w:lineRule="auto"/>
              <w:jc w:val="center"/>
            </w:pPr>
            <w:r>
              <w:rPr>
                <w:b w:val="0"/>
                <w:color w:val="202B32"/>
                <w:sz w:val="22"/>
              </w:rPr>
              <w:t>Wealth</w:t>
            </w:r>
          </w:p>
        </w:tc>
        <w:tc>
          <w:tcPr>
            <w:tcW w:type="dxa" w:w="1134"/>
            <w:vAlign w:val="center"/>
            <w:shd w:fill="F0F6F7"/>
            <w:tcMar>
              <w:top w:w="75" w:type="dxa"/>
              <w:bottom w:w="75" w:type="dxa"/>
              <w:left w:w="90" w:type="dxa"/>
              <w:right w:w="90" w:type="dxa"/>
            </w:tcMar>
          </w:tcPr>
          <w:p>
            <w:pPr>
              <w:spacing w:after="0" w:line="247" w:lineRule="auto"/>
              <w:jc w:val="center"/>
            </w:pPr>
            <w:r>
              <w:drawing>
                <wp:inline xmlns:a="http://schemas.openxmlformats.org/drawingml/2006/main" xmlns:pic="http://schemas.openxmlformats.org/drawingml/2006/picture">
                  <wp:extent cx="342000" cy="203352"/>
                  <wp:docPr id="24" name="Picture 24" descr="MIT"/>
                  <wp:cNvGraphicFramePr>
                    <a:graphicFrameLocks noChangeAspect="1"/>
                  </wp:cNvGraphicFramePr>
                  <a:graphic>
                    <a:graphicData uri="http://schemas.openxmlformats.org/drawingml/2006/picture">
                      <pic:pic>
                        <pic:nvPicPr>
                          <pic:cNvPr id="0" name="MIT.png"/>
                          <pic:cNvPicPr/>
                        </pic:nvPicPr>
                        <pic:blipFill>
                          <a:blip r:embed="rId25"/>
                          <a:stretch>
                            <a:fillRect/>
                          </a:stretch>
                        </pic:blipFill>
                        <pic:spPr>
                          <a:xfrm>
                            <a:off x="0" y="0"/>
                            <a:ext cx="342000" cy="203352"/>
                          </a:xfrm>
                          <a:prstGeom prst="rect"/>
                        </pic:spPr>
                      </pic:pic>
                    </a:graphicData>
                  </a:graphic>
                </wp:inline>
              </w:drawing>
            </w:r>
          </w:p>
        </w:tc>
        <w:tc>
          <w:tcPr>
            <w:tcW w:type="dxa" w:w="3628"/>
            <w:vAlign w:val="center"/>
            <w:shd w:fill="F0F6F7"/>
            <w:tcMar>
              <w:top w:w="75" w:type="dxa"/>
              <w:bottom w:w="75" w:type="dxa"/>
              <w:left w:w="90" w:type="dxa"/>
              <w:right w:w="90" w:type="dxa"/>
            </w:tcMar>
          </w:tcPr>
          <w:p>
            <w:pPr>
              <w:spacing w:after="0" w:line="247" w:lineRule="auto"/>
              <w:jc w:val="center"/>
            </w:pPr>
            <w:r>
              <w:rPr>
                <w:b w:val="0"/>
                <w:color w:val="202B32"/>
                <w:sz w:val="22"/>
              </w:rPr>
              <w:t>Mitigation</w:t>
            </w:r>
          </w:p>
        </w:tc>
      </w:tr>
      <w:tr>
        <w:trPr>
          <w:cantSplit/>
        </w:trPr>
        <w:tc>
          <w:tcPr>
            <w:tcW w:type="dxa" w:w="1134"/>
            <w:vAlign w:val="center"/>
            <w:shd w:fill="FFFFFF"/>
            <w:tcMar>
              <w:top w:w="75" w:type="dxa"/>
              <w:bottom w:w="75" w:type="dxa"/>
              <w:left w:w="90" w:type="dxa"/>
              <w:right w:w="90" w:type="dxa"/>
            </w:tcMar>
          </w:tcPr>
          <w:p>
            <w:pPr>
              <w:spacing w:after="0" w:line="247" w:lineRule="auto"/>
            </w:pPr>
            <w:r>
              <w:drawing>
                <wp:inline xmlns:a="http://schemas.openxmlformats.org/drawingml/2006/main" xmlns:pic="http://schemas.openxmlformats.org/drawingml/2006/picture">
                  <wp:extent cx="342000" cy="193663"/>
                  <wp:docPr id="25" name="Picture 25" descr="POP"/>
                  <wp:cNvGraphicFramePr>
                    <a:graphicFrameLocks noChangeAspect="1"/>
                  </wp:cNvGraphicFramePr>
                  <a:graphic>
                    <a:graphicData uri="http://schemas.openxmlformats.org/drawingml/2006/picture">
                      <pic:pic>
                        <pic:nvPicPr>
                          <pic:cNvPr id="0" name="POP.png"/>
                          <pic:cNvPicPr/>
                        </pic:nvPicPr>
                        <pic:blipFill>
                          <a:blip r:embed="rId19"/>
                          <a:stretch>
                            <a:fillRect/>
                          </a:stretch>
                        </pic:blipFill>
                        <pic:spPr>
                          <a:xfrm>
                            <a:off x="0" y="0"/>
                            <a:ext cx="342000" cy="193663"/>
                          </a:xfrm>
                          <a:prstGeom prst="rect"/>
                        </pic:spPr>
                      </pic:pic>
                    </a:graphicData>
                  </a:graphic>
                </wp:inline>
              </w:drawing>
            </w:r>
          </w:p>
        </w:tc>
        <w:tc>
          <w:tcPr>
            <w:tcW w:type="dxa" w:w="3628"/>
            <w:vAlign w:val="center"/>
            <w:shd w:fill="FFFFFF"/>
            <w:tcMar>
              <w:top w:w="75" w:type="dxa"/>
              <w:bottom w:w="75" w:type="dxa"/>
              <w:left w:w="90" w:type="dxa"/>
              <w:right w:w="90" w:type="dxa"/>
            </w:tcMar>
          </w:tcPr>
          <w:p>
            <w:pPr>
              <w:spacing w:after="0" w:line="247" w:lineRule="auto"/>
              <w:jc w:val="center"/>
            </w:pPr>
            <w:r>
              <w:rPr>
                <w:b w:val="0"/>
                <w:color w:val="202B32"/>
                <w:sz w:val="22"/>
              </w:rPr>
              <w:t>Population</w:t>
            </w:r>
          </w:p>
        </w:tc>
        <w:tc>
          <w:tcPr>
            <w:tcW w:type="dxa" w:w="1134"/>
            <w:vAlign w:val="center"/>
            <w:shd w:fill="FFFFFF"/>
            <w:tcMar>
              <w:top w:w="75" w:type="dxa"/>
              <w:bottom w:w="75" w:type="dxa"/>
              <w:left w:w="90" w:type="dxa"/>
              <w:right w:w="90" w:type="dxa"/>
            </w:tcMar>
          </w:tcPr>
          <w:p>
            <w:pPr>
              <w:spacing w:after="0" w:line="247" w:lineRule="auto"/>
              <w:jc w:val="center"/>
            </w:pPr>
            <w:r>
              <w:drawing>
                <wp:inline xmlns:a="http://schemas.openxmlformats.org/drawingml/2006/main" xmlns:pic="http://schemas.openxmlformats.org/drawingml/2006/picture">
                  <wp:extent cx="342000" cy="198730"/>
                  <wp:docPr id="26" name="Picture 26" descr="RES"/>
                  <wp:cNvGraphicFramePr>
                    <a:graphicFrameLocks noChangeAspect="1"/>
                  </wp:cNvGraphicFramePr>
                  <a:graphic>
                    <a:graphicData uri="http://schemas.openxmlformats.org/drawingml/2006/picture">
                      <pic:pic>
                        <pic:nvPicPr>
                          <pic:cNvPr id="0" name="RES.png"/>
                          <pic:cNvPicPr/>
                        </pic:nvPicPr>
                        <pic:blipFill>
                          <a:blip r:embed="rId26"/>
                          <a:stretch>
                            <a:fillRect/>
                          </a:stretch>
                        </pic:blipFill>
                        <pic:spPr>
                          <a:xfrm>
                            <a:off x="0" y="0"/>
                            <a:ext cx="342000" cy="198730"/>
                          </a:xfrm>
                          <a:prstGeom prst="rect"/>
                        </pic:spPr>
                      </pic:pic>
                    </a:graphicData>
                  </a:graphic>
                </wp:inline>
              </w:drawing>
            </w:r>
          </w:p>
        </w:tc>
        <w:tc>
          <w:tcPr>
            <w:tcW w:type="dxa" w:w="3628"/>
            <w:vAlign w:val="center"/>
            <w:shd w:fill="FFFFFF"/>
            <w:tcMar>
              <w:top w:w="75" w:type="dxa"/>
              <w:bottom w:w="75" w:type="dxa"/>
              <w:left w:w="90" w:type="dxa"/>
              <w:right w:w="90" w:type="dxa"/>
            </w:tcMar>
          </w:tcPr>
          <w:p>
            <w:pPr>
              <w:spacing w:after="0" w:line="247" w:lineRule="auto"/>
              <w:jc w:val="center"/>
            </w:pPr>
            <w:r>
              <w:rPr>
                <w:b w:val="0"/>
                <w:color w:val="202B32"/>
                <w:sz w:val="22"/>
              </w:rPr>
              <w:t>Response</w:t>
            </w:r>
          </w:p>
        </w:tc>
      </w:tr>
    </w:tbl>
    <w:p>
      <w:pPr>
        <w:spacing w:after="0" w:before="0" w:line="96" w:lineRule="auto"/>
      </w:pPr>
    </w:p>
    <w:p>
      <w:pPr>
        <w:pStyle w:val="Titolo2"/>
      </w:pPr>
      <w:r>
        <w:rPr/>
        <w:t>Pay now and activate when ready</w:t>
      </w:r>
    </w:p>
    <w:p>
      <w:pPr/>
      <w:r>
        <w:rPr/>
        <w:t xml:space="preserve">Pay the full cost when a card is funded. </w:t>
      </w:r>
      <w:r>
        <w:rPr>
          <w:b/>
        </w:rPr>
        <w:t>Time 0</w:t>
      </w:r>
      <w:r>
        <w:rPr/>
        <w:t xml:space="preserve"> activates now; </w:t>
      </w:r>
      <w:r>
        <w:rPr>
          <w:b/>
        </w:rPr>
        <w:t>time 1</w:t>
      </w:r>
      <w:r>
        <w:rPr/>
        <w:t xml:space="preserve"> activates at the beginning of next year; </w:t>
      </w:r>
      <w:r>
        <w:rPr>
          <w:b/>
        </w:rPr>
        <w:t>time 2</w:t>
      </w:r>
      <w:r>
        <w:rPr/>
        <w:t xml:space="preserve"> at the beginning of the year after that. Put delayed cards at the correct year on the Timeline.</w:t>
      </w:r>
    </w:p>
    <w:p>
      <w:pPr/>
      <w:r>
        <w:rPr/>
        <w:t xml:space="preserve">When a card activates, apply its effects </w:t>
      </w:r>
      <w:r>
        <w:rPr>
          <w:b/>
        </w:rPr>
        <w:t>once</w:t>
      </w:r>
      <w:r>
        <w:rPr/>
        <w:t>. It uses no new funding slot and costs nothing more. Keep permanent cards visible beside the boards; keep track of temporary effects and follow their printed expiry.</w:t>
      </w:r>
    </w:p>
    <w:p>
      <w:pPr/>
      <w:r>
        <w:rPr/>
        <w:t>An action scheduled after year 6 will not activate during the game. Implementation time cannot fall below 0. Specific card instructions take precedence over the general procedure.</w:t>
      </w:r>
    </w:p>
    <w:p>
      <w:pPr>
        <w:pStyle w:val="Titolo1"/>
        <w:pageBreakBefore/>
      </w:pPr>
      <w:r>
        <w:rPr>
          <w:color w:val="147D83"/>
        </w:rPr>
        <w:t>Stakeholder abilities</w:t>
      </w:r>
    </w:p>
    <w:p>
      <w:pPr/>
      <w:r>
        <w:rPr/>
        <w:t xml:space="preserve">Use your own ability at its stated moment by discarding the required cards from your hand to the bottom of your deck. No vote, payment in Geuros or funded-action slot is required. Abilities are limited to </w:t>
      </w:r>
      <w:r>
        <w:rPr>
          <w:b/>
        </w:rPr>
        <w:t>once per turn</w:t>
      </w:r>
      <w:r>
        <w:rPr/>
        <w:t xml:space="preserve">, except those marked </w:t>
      </w:r>
      <w:r>
        <w:rPr>
          <w:b/>
        </w:rPr>
        <w:t>once per game</w:t>
      </w:r>
      <w:r>
        <w:rPr/>
        <w: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24"/>
        <w:gridCol w:w="1304"/>
        <w:gridCol w:w="5896"/>
      </w:tblGrid>
      <w:tr>
        <w:trPr>
          <w:cantSplit/>
          <w:tblHeader/>
        </w:trPr>
        <w:tc>
          <w:tcPr>
            <w:tcW w:type="dxa" w:w="2324"/>
            <w:vAlign w:val="center"/>
            <w:shd w:fill="147D83"/>
            <w:tcMar>
              <w:top w:w="75" w:type="dxa"/>
              <w:bottom w:w="75" w:type="dxa"/>
              <w:left w:w="90" w:type="dxa"/>
              <w:right w:w="90" w:type="dxa"/>
            </w:tcMar>
          </w:tcPr>
          <w:p>
            <w:pPr>
              <w:spacing w:after="0" w:line="247" w:lineRule="auto"/>
            </w:pPr>
            <w:r>
              <w:rPr>
                <w:b/>
                <w:color w:val="FFFFFF"/>
                <w:sz w:val="21"/>
              </w:rPr>
              <w:t>Stakeholder</w:t>
            </w:r>
          </w:p>
        </w:tc>
        <w:tc>
          <w:tcPr>
            <w:tcW w:type="dxa" w:w="1304"/>
            <w:vAlign w:val="center"/>
            <w:shd w:fill="147D83"/>
            <w:tcMar>
              <w:top w:w="75" w:type="dxa"/>
              <w:bottom w:w="75" w:type="dxa"/>
              <w:left w:w="90" w:type="dxa"/>
              <w:right w:w="90" w:type="dxa"/>
            </w:tcMar>
          </w:tcPr>
          <w:p>
            <w:pPr>
              <w:spacing w:after="0" w:line="247" w:lineRule="auto"/>
              <w:jc w:val="center"/>
            </w:pPr>
            <w:r>
              <w:rPr>
                <w:b/>
                <w:color w:val="FFFFFF"/>
                <w:sz w:val="21"/>
              </w:rPr>
              <w:t>Discard</w:t>
            </w:r>
          </w:p>
        </w:tc>
        <w:tc>
          <w:tcPr>
            <w:tcW w:type="dxa" w:w="5896"/>
            <w:vAlign w:val="center"/>
            <w:shd w:fill="147D83"/>
            <w:tcMar>
              <w:top w:w="75" w:type="dxa"/>
              <w:bottom w:w="75" w:type="dxa"/>
              <w:left w:w="90" w:type="dxa"/>
              <w:right w:w="90" w:type="dxa"/>
            </w:tcMar>
          </w:tcPr>
          <w:p>
            <w:pPr>
              <w:spacing w:after="0" w:line="247" w:lineRule="auto"/>
              <w:jc w:val="left"/>
            </w:pPr>
            <w:r>
              <w:rPr>
                <w:b/>
                <w:color w:val="FFFFFF"/>
                <w:sz w:val="21"/>
              </w:rPr>
              <w:t>Ability</w:t>
            </w:r>
          </w:p>
        </w:tc>
      </w:tr>
      <w:tr>
        <w:trPr>
          <w:cantSplit/>
        </w:trPr>
        <w:tc>
          <w:tcPr>
            <w:tcW w:type="dxa" w:w="2324"/>
            <w:vAlign w:val="center"/>
            <w:shd w:fill="FFFFFF"/>
            <w:tcMar>
              <w:top w:w="75" w:type="dxa"/>
              <w:bottom w:w="75" w:type="dxa"/>
              <w:left w:w="90" w:type="dxa"/>
              <w:right w:w="90" w:type="dxa"/>
            </w:tcMar>
          </w:tcPr>
          <w:p>
            <w:pPr>
              <w:spacing w:after="0" w:line="247" w:lineRule="auto"/>
            </w:pPr>
            <w:r>
              <w:rPr>
                <w:b w:val="0"/>
                <w:color w:val="202B32"/>
                <w:sz w:val="21"/>
              </w:rPr>
              <w:t>Citizenship</w:t>
            </w:r>
          </w:p>
        </w:tc>
        <w:tc>
          <w:tcPr>
            <w:tcW w:type="dxa" w:w="1304"/>
            <w:vAlign w:val="center"/>
            <w:shd w:fill="FFFFFF"/>
            <w:tcMar>
              <w:top w:w="75" w:type="dxa"/>
              <w:bottom w:w="75" w:type="dxa"/>
              <w:left w:w="90" w:type="dxa"/>
              <w:right w:w="90" w:type="dxa"/>
            </w:tcMar>
          </w:tcPr>
          <w:p>
            <w:pPr>
              <w:spacing w:after="0" w:line="247" w:lineRule="auto"/>
              <w:jc w:val="center"/>
            </w:pPr>
            <w:r>
              <w:rPr>
                <w:b w:val="0"/>
                <w:color w:val="202B32"/>
                <w:sz w:val="21"/>
              </w:rPr>
              <w:t>3 cards</w:t>
            </w:r>
          </w:p>
        </w:tc>
        <w:tc>
          <w:tcPr>
            <w:tcW w:type="dxa" w:w="5896"/>
            <w:vAlign w:val="center"/>
            <w:shd w:fill="FFFFFF"/>
            <w:tcMar>
              <w:top w:w="75" w:type="dxa"/>
              <w:bottom w:w="75" w:type="dxa"/>
              <w:left w:w="90" w:type="dxa"/>
              <w:right w:w="90" w:type="dxa"/>
            </w:tcMar>
          </w:tcPr>
          <w:p>
            <w:pPr>
              <w:spacing w:after="0" w:line="247" w:lineRule="auto"/>
              <w:jc w:val="left"/>
            </w:pPr>
            <w:r>
              <w:rPr>
                <w:b w:val="0"/>
                <w:color w:val="202B32"/>
                <w:sz w:val="21"/>
              </w:rPr>
              <w:t>Before drawing the Event: +2 Response to all hazards until the end of this turn.</w:t>
            </w:r>
          </w:p>
        </w:tc>
      </w:tr>
      <w:tr>
        <w:trPr>
          <w:cantSplit/>
        </w:trPr>
        <w:tc>
          <w:tcPr>
            <w:tcW w:type="dxa" w:w="2324"/>
            <w:vAlign w:val="center"/>
            <w:shd w:fill="F0F6F7"/>
            <w:tcMar>
              <w:top w:w="75" w:type="dxa"/>
              <w:bottom w:w="75" w:type="dxa"/>
              <w:left w:w="90" w:type="dxa"/>
              <w:right w:w="90" w:type="dxa"/>
            </w:tcMar>
          </w:tcPr>
          <w:p>
            <w:pPr>
              <w:spacing w:after="0" w:line="247" w:lineRule="auto"/>
            </w:pPr>
            <w:r>
              <w:rPr>
                <w:b w:val="0"/>
                <w:color w:val="202B32"/>
                <w:sz w:val="21"/>
              </w:rPr>
              <w:t>Scientists</w:t>
            </w:r>
          </w:p>
        </w:tc>
        <w:tc>
          <w:tcPr>
            <w:tcW w:type="dxa" w:w="1304"/>
            <w:vAlign w:val="center"/>
            <w:shd w:fill="F0F6F7"/>
            <w:tcMar>
              <w:top w:w="75" w:type="dxa"/>
              <w:bottom w:w="75" w:type="dxa"/>
              <w:left w:w="90" w:type="dxa"/>
              <w:right w:w="90" w:type="dxa"/>
            </w:tcMar>
          </w:tcPr>
          <w:p>
            <w:pPr>
              <w:spacing w:after="0" w:line="247" w:lineRule="auto"/>
              <w:jc w:val="center"/>
            </w:pPr>
            <w:r>
              <w:rPr>
                <w:b w:val="0"/>
                <w:color w:val="202B32"/>
                <w:sz w:val="21"/>
              </w:rPr>
              <w:t>3 cards</w:t>
            </w:r>
          </w:p>
        </w:tc>
        <w:tc>
          <w:tcPr>
            <w:tcW w:type="dxa" w:w="5896"/>
            <w:vAlign w:val="center"/>
            <w:shd w:fill="F0F6F7"/>
            <w:tcMar>
              <w:top w:w="75" w:type="dxa"/>
              <w:bottom w:w="75" w:type="dxa"/>
              <w:left w:w="90" w:type="dxa"/>
              <w:right w:w="90" w:type="dxa"/>
            </w:tcMar>
          </w:tcPr>
          <w:p>
            <w:pPr>
              <w:spacing w:after="0" w:line="247" w:lineRule="auto"/>
              <w:jc w:val="left"/>
            </w:pPr>
            <w:r>
              <w:rPr>
                <w:b w:val="0"/>
                <w:color w:val="202B32"/>
                <w:sz w:val="21"/>
              </w:rPr>
              <w:t>Before voting: inspect the next 3 Events for 10 seconds with the Master. Once per game; procedure below.</w:t>
            </w:r>
          </w:p>
        </w:tc>
      </w:tr>
      <w:tr>
        <w:trPr>
          <w:cantSplit/>
        </w:trPr>
        <w:tc>
          <w:tcPr>
            <w:tcW w:type="dxa" w:w="2324"/>
            <w:vAlign w:val="center"/>
            <w:shd w:fill="FFFFFF"/>
            <w:tcMar>
              <w:top w:w="75" w:type="dxa"/>
              <w:bottom w:w="75" w:type="dxa"/>
              <w:left w:w="90" w:type="dxa"/>
              <w:right w:w="90" w:type="dxa"/>
            </w:tcMar>
          </w:tcPr>
          <w:p>
            <w:pPr>
              <w:spacing w:after="0" w:line="247" w:lineRule="auto"/>
            </w:pPr>
            <w:r>
              <w:rPr>
                <w:b w:val="0"/>
                <w:color w:val="202B32"/>
                <w:sz w:val="21"/>
              </w:rPr>
              <w:t>Local Government</w:t>
            </w:r>
          </w:p>
        </w:tc>
        <w:tc>
          <w:tcPr>
            <w:tcW w:type="dxa" w:w="1304"/>
            <w:vAlign w:val="center"/>
            <w:shd w:fill="FFFFFF"/>
            <w:tcMar>
              <w:top w:w="75" w:type="dxa"/>
              <w:bottom w:w="75" w:type="dxa"/>
              <w:left w:w="90" w:type="dxa"/>
              <w:right w:w="90" w:type="dxa"/>
            </w:tcMar>
          </w:tcPr>
          <w:p>
            <w:pPr>
              <w:spacing w:after="0" w:line="247" w:lineRule="auto"/>
              <w:jc w:val="center"/>
            </w:pPr>
            <w:r>
              <w:rPr>
                <w:b w:val="0"/>
                <w:color w:val="202B32"/>
                <w:sz w:val="21"/>
              </w:rPr>
              <w:t>1 card</w:t>
            </w:r>
          </w:p>
        </w:tc>
        <w:tc>
          <w:tcPr>
            <w:tcW w:type="dxa" w:w="5896"/>
            <w:vAlign w:val="center"/>
            <w:shd w:fill="FFFFFF"/>
            <w:tcMar>
              <w:top w:w="75" w:type="dxa"/>
              <w:bottom w:w="75" w:type="dxa"/>
              <w:left w:w="90" w:type="dxa"/>
              <w:right w:w="90" w:type="dxa"/>
            </w:tcMar>
          </w:tcPr>
          <w:p>
            <w:pPr>
              <w:spacing w:after="0" w:line="247" w:lineRule="auto"/>
              <w:jc w:val="left"/>
            </w:pPr>
            <w:r>
              <w:rPr>
                <w:b w:val="0"/>
                <w:color w:val="202B32"/>
                <w:sz w:val="21"/>
              </w:rPr>
              <w:t>Draw a replacement, before your proposal or after unfunded proposals return. Once per turn.</w:t>
            </w:r>
          </w:p>
        </w:tc>
      </w:tr>
      <w:tr>
        <w:trPr>
          <w:cantSplit/>
        </w:trPr>
        <w:tc>
          <w:tcPr>
            <w:tcW w:type="dxa" w:w="2324"/>
            <w:vAlign w:val="center"/>
            <w:shd w:fill="F0F6F7"/>
            <w:tcMar>
              <w:top w:w="75" w:type="dxa"/>
              <w:bottom w:w="75" w:type="dxa"/>
              <w:left w:w="90" w:type="dxa"/>
              <w:right w:w="90" w:type="dxa"/>
            </w:tcMar>
          </w:tcPr>
          <w:p>
            <w:pPr>
              <w:spacing w:after="0" w:line="247" w:lineRule="auto"/>
            </w:pPr>
            <w:r>
              <w:rPr>
                <w:b w:val="0"/>
                <w:color w:val="202B32"/>
                <w:sz w:val="21"/>
              </w:rPr>
              <w:t>Mass Media</w:t>
            </w:r>
          </w:p>
        </w:tc>
        <w:tc>
          <w:tcPr>
            <w:tcW w:type="dxa" w:w="1304"/>
            <w:vAlign w:val="center"/>
            <w:shd w:fill="F0F6F7"/>
            <w:tcMar>
              <w:top w:w="75" w:type="dxa"/>
              <w:bottom w:w="75" w:type="dxa"/>
              <w:left w:w="90" w:type="dxa"/>
              <w:right w:w="90" w:type="dxa"/>
            </w:tcMar>
          </w:tcPr>
          <w:p>
            <w:pPr>
              <w:spacing w:after="0" w:line="247" w:lineRule="auto"/>
              <w:jc w:val="center"/>
            </w:pPr>
            <w:r>
              <w:rPr>
                <w:b w:val="0"/>
                <w:color w:val="202B32"/>
                <w:sz w:val="21"/>
              </w:rPr>
              <w:t>2 cards</w:t>
            </w:r>
          </w:p>
        </w:tc>
        <w:tc>
          <w:tcPr>
            <w:tcW w:type="dxa" w:w="5896"/>
            <w:vAlign w:val="center"/>
            <w:shd w:fill="F0F6F7"/>
            <w:tcMar>
              <w:top w:w="75" w:type="dxa"/>
              <w:bottom w:w="75" w:type="dxa"/>
              <w:left w:w="90" w:type="dxa"/>
              <w:right w:w="90" w:type="dxa"/>
            </w:tcMar>
          </w:tcPr>
          <w:p>
            <w:pPr>
              <w:spacing w:after="0" w:line="247" w:lineRule="auto"/>
              <w:jc w:val="left"/>
            </w:pPr>
            <w:r>
              <w:rPr>
                <w:b w:val="0"/>
                <w:color w:val="202B32"/>
                <w:sz w:val="21"/>
              </w:rPr>
              <w:t>After votes: transfer all votes from one proposal to another, including your own. Recount before funding.</w:t>
            </w:r>
          </w:p>
        </w:tc>
      </w:tr>
      <w:tr>
        <w:trPr>
          <w:cantSplit/>
        </w:trPr>
        <w:tc>
          <w:tcPr>
            <w:tcW w:type="dxa" w:w="2324"/>
            <w:vAlign w:val="center"/>
            <w:shd w:fill="FFFFFF"/>
            <w:tcMar>
              <w:top w:w="75" w:type="dxa"/>
              <w:bottom w:w="75" w:type="dxa"/>
              <w:left w:w="90" w:type="dxa"/>
              <w:right w:w="90" w:type="dxa"/>
            </w:tcMar>
          </w:tcPr>
          <w:p>
            <w:pPr>
              <w:spacing w:after="0" w:line="247" w:lineRule="auto"/>
            </w:pPr>
            <w:r>
              <w:rPr>
                <w:b w:val="0"/>
                <w:color w:val="202B32"/>
                <w:sz w:val="21"/>
              </w:rPr>
              <w:t>Ministry of Finance</w:t>
            </w:r>
          </w:p>
        </w:tc>
        <w:tc>
          <w:tcPr>
            <w:tcW w:type="dxa" w:w="1304"/>
            <w:vAlign w:val="center"/>
            <w:shd w:fill="FFFFFF"/>
            <w:tcMar>
              <w:top w:w="75" w:type="dxa"/>
              <w:bottom w:w="75" w:type="dxa"/>
              <w:left w:w="90" w:type="dxa"/>
              <w:right w:w="90" w:type="dxa"/>
            </w:tcMar>
          </w:tcPr>
          <w:p>
            <w:pPr>
              <w:spacing w:after="0" w:line="247" w:lineRule="auto"/>
              <w:jc w:val="center"/>
            </w:pPr>
            <w:r>
              <w:rPr>
                <w:b w:val="0"/>
                <w:color w:val="202B32"/>
                <w:sz w:val="21"/>
              </w:rPr>
              <w:t>3 cards</w:t>
            </w:r>
          </w:p>
        </w:tc>
        <w:tc>
          <w:tcPr>
            <w:tcW w:type="dxa" w:w="5896"/>
            <w:vAlign w:val="center"/>
            <w:shd w:fill="FFFFFF"/>
            <w:tcMar>
              <w:top w:w="75" w:type="dxa"/>
              <w:bottom w:w="75" w:type="dxa"/>
              <w:left w:w="90" w:type="dxa"/>
              <w:right w:w="90" w:type="dxa"/>
            </w:tcMar>
          </w:tcPr>
          <w:p>
            <w:pPr>
              <w:spacing w:after="0" w:line="247" w:lineRule="auto"/>
              <w:jc w:val="left"/>
            </w:pPr>
            <w:r>
              <w:rPr>
                <w:b w:val="0"/>
                <w:color w:val="202B32"/>
                <w:sz w:val="21"/>
              </w:rPr>
              <w:t>When a card wins the vote: reduce its cost to 0 before checking funds. Once per game.</w:t>
            </w:r>
          </w:p>
        </w:tc>
      </w:tr>
      <w:tr>
        <w:trPr>
          <w:cantSplit/>
        </w:trPr>
        <w:tc>
          <w:tcPr>
            <w:tcW w:type="dxa" w:w="2324"/>
            <w:vAlign w:val="center"/>
            <w:shd w:fill="F0F6F7"/>
            <w:tcMar>
              <w:top w:w="75" w:type="dxa"/>
              <w:bottom w:w="75" w:type="dxa"/>
              <w:left w:w="90" w:type="dxa"/>
              <w:right w:w="90" w:type="dxa"/>
            </w:tcMar>
          </w:tcPr>
          <w:p>
            <w:pPr>
              <w:spacing w:after="0" w:line="247" w:lineRule="auto"/>
            </w:pPr>
            <w:r>
              <w:rPr>
                <w:b w:val="0"/>
                <w:color w:val="202B32"/>
                <w:sz w:val="21"/>
              </w:rPr>
              <w:t>Ministry of Infrastructure</w:t>
            </w:r>
          </w:p>
        </w:tc>
        <w:tc>
          <w:tcPr>
            <w:tcW w:type="dxa" w:w="1304"/>
            <w:vAlign w:val="center"/>
            <w:shd w:fill="F0F6F7"/>
            <w:tcMar>
              <w:top w:w="75" w:type="dxa"/>
              <w:bottom w:w="75" w:type="dxa"/>
              <w:left w:w="90" w:type="dxa"/>
              <w:right w:w="90" w:type="dxa"/>
            </w:tcMar>
          </w:tcPr>
          <w:p>
            <w:pPr>
              <w:spacing w:after="0" w:line="247" w:lineRule="auto"/>
              <w:jc w:val="center"/>
            </w:pPr>
            <w:r>
              <w:rPr>
                <w:b w:val="0"/>
                <w:color w:val="202B32"/>
                <w:sz w:val="21"/>
              </w:rPr>
              <w:t>2 cards</w:t>
            </w:r>
          </w:p>
        </w:tc>
        <w:tc>
          <w:tcPr>
            <w:tcW w:type="dxa" w:w="5896"/>
            <w:vAlign w:val="center"/>
            <w:shd w:fill="F0F6F7"/>
            <w:tcMar>
              <w:top w:w="75" w:type="dxa"/>
              <w:bottom w:w="75" w:type="dxa"/>
              <w:left w:w="90" w:type="dxa"/>
              <w:right w:w="90" w:type="dxa"/>
            </w:tcMar>
          </w:tcPr>
          <w:p>
            <w:pPr>
              <w:spacing w:after="0" w:line="247" w:lineRule="auto"/>
              <w:jc w:val="left"/>
            </w:pPr>
            <w:r>
              <w:rPr>
                <w:b w:val="0"/>
                <w:color w:val="202B32"/>
                <w:sz w:val="21"/>
              </w:rPr>
              <w:t>Before the Event: make one funded card active immediately, including a card awaiting implementation. Once per game.</w:t>
            </w:r>
          </w:p>
        </w:tc>
      </w:tr>
      <w:tr>
        <w:trPr>
          <w:cantSplit/>
        </w:trPr>
        <w:tc>
          <w:tcPr>
            <w:tcW w:type="dxa" w:w="2324"/>
            <w:vAlign w:val="center"/>
            <w:shd w:fill="FFFFFF"/>
            <w:tcMar>
              <w:top w:w="75" w:type="dxa"/>
              <w:bottom w:w="75" w:type="dxa"/>
              <w:left w:w="90" w:type="dxa"/>
              <w:right w:w="90" w:type="dxa"/>
            </w:tcMar>
          </w:tcPr>
          <w:p>
            <w:pPr>
              <w:spacing w:after="0" w:line="247" w:lineRule="auto"/>
            </w:pPr>
            <w:r>
              <w:rPr>
                <w:b w:val="0"/>
                <w:color w:val="202B32"/>
                <w:sz w:val="21"/>
              </w:rPr>
              <w:t>Civil Protection</w:t>
            </w:r>
          </w:p>
        </w:tc>
        <w:tc>
          <w:tcPr>
            <w:tcW w:type="dxa" w:w="1304"/>
            <w:vAlign w:val="center"/>
            <w:shd w:fill="FFFFFF"/>
            <w:tcMar>
              <w:top w:w="75" w:type="dxa"/>
              <w:bottom w:w="75" w:type="dxa"/>
              <w:left w:w="90" w:type="dxa"/>
              <w:right w:w="90" w:type="dxa"/>
            </w:tcMar>
          </w:tcPr>
          <w:p>
            <w:pPr>
              <w:spacing w:after="0" w:line="247" w:lineRule="auto"/>
              <w:jc w:val="center"/>
            </w:pPr>
            <w:r>
              <w:rPr>
                <w:b w:val="0"/>
                <w:color w:val="202B32"/>
                <w:sz w:val="21"/>
              </w:rPr>
              <w:t>2 cards</w:t>
            </w:r>
          </w:p>
        </w:tc>
        <w:tc>
          <w:tcPr>
            <w:tcW w:type="dxa" w:w="5896"/>
            <w:vAlign w:val="center"/>
            <w:shd w:fill="FFFFFF"/>
            <w:tcMar>
              <w:top w:w="75" w:type="dxa"/>
              <w:bottom w:w="75" w:type="dxa"/>
              <w:left w:w="90" w:type="dxa"/>
              <w:right w:w="90" w:type="dxa"/>
            </w:tcMar>
          </w:tcPr>
          <w:p>
            <w:pPr>
              <w:spacing w:after="0" w:line="247" w:lineRule="auto"/>
              <w:jc w:val="left"/>
            </w:pPr>
            <w:r>
              <w:rPr>
                <w:b w:val="0"/>
                <w:color w:val="202B32"/>
                <w:sz w:val="21"/>
              </w:rPr>
              <w:t>During voting: this year, fund up to 3 cards instead of 2, if the treasury can pay.</w:t>
            </w:r>
          </w:p>
        </w:tc>
      </w:tr>
      <w:tr>
        <w:trPr>
          <w:cantSplit/>
        </w:trPr>
        <w:tc>
          <w:tcPr>
            <w:tcW w:type="dxa" w:w="2324"/>
            <w:vAlign w:val="center"/>
            <w:shd w:fill="F0F6F7"/>
            <w:tcMar>
              <w:top w:w="75" w:type="dxa"/>
              <w:bottom w:w="75" w:type="dxa"/>
              <w:left w:w="90" w:type="dxa"/>
              <w:right w:w="90" w:type="dxa"/>
            </w:tcMar>
          </w:tcPr>
          <w:p>
            <w:pPr>
              <w:spacing w:after="0" w:line="247" w:lineRule="auto"/>
            </w:pPr>
            <w:r>
              <w:rPr>
                <w:b w:val="0"/>
                <w:color w:val="202B32"/>
                <w:sz w:val="21"/>
              </w:rPr>
              <w:t>Firefighters</w:t>
            </w:r>
          </w:p>
        </w:tc>
        <w:tc>
          <w:tcPr>
            <w:tcW w:type="dxa" w:w="1304"/>
            <w:vAlign w:val="center"/>
            <w:shd w:fill="F0F6F7"/>
            <w:tcMar>
              <w:top w:w="75" w:type="dxa"/>
              <w:bottom w:w="75" w:type="dxa"/>
              <w:left w:w="90" w:type="dxa"/>
              <w:right w:w="90" w:type="dxa"/>
            </w:tcMar>
          </w:tcPr>
          <w:p>
            <w:pPr>
              <w:spacing w:after="0" w:line="247" w:lineRule="auto"/>
              <w:jc w:val="center"/>
            </w:pPr>
            <w:r>
              <w:rPr>
                <w:b w:val="0"/>
                <w:color w:val="202B32"/>
                <w:sz w:val="21"/>
              </w:rPr>
              <w:t>3 cards</w:t>
            </w:r>
          </w:p>
        </w:tc>
        <w:tc>
          <w:tcPr>
            <w:tcW w:type="dxa" w:w="5896"/>
            <w:vAlign w:val="center"/>
            <w:shd w:fill="F0F6F7"/>
            <w:tcMar>
              <w:top w:w="75" w:type="dxa"/>
              <w:bottom w:w="75" w:type="dxa"/>
              <w:left w:w="90" w:type="dxa"/>
              <w:right w:w="90" w:type="dxa"/>
            </w:tcMar>
          </w:tcPr>
          <w:p>
            <w:pPr>
              <w:spacing w:after="0" w:line="247" w:lineRule="auto"/>
              <w:jc w:val="left"/>
            </w:pPr>
            <w:r>
              <w:rPr>
                <w:b w:val="0"/>
                <w:color w:val="202B32"/>
                <w:sz w:val="21"/>
              </w:rPr>
              <w:t>After calculating an Event’s effects, before Population loss: reduce that loss to 0. Other losses remain.</w:t>
            </w:r>
          </w:p>
        </w:tc>
      </w:tr>
    </w:tbl>
    <w:p>
      <w:pPr>
        <w:spacing w:after="0" w:before="0" w:line="96" w:lineRule="auto"/>
      </w:pPr>
    </w:p>
    <w:p>
      <w:pPr>
        <w:pStyle w:val="Titolo2"/>
      </w:pPr>
      <w:r>
        <w:rPr/>
        <w:t>Cassandra and the Master</w:t>
      </w:r>
    </w:p>
    <w:p>
      <w:pPr/>
      <w:r>
        <w:rPr/>
        <w:t>Before voting, discard 3 cards. The Master shows you the next 3 Event cards in random order for 10 seconds, covering their Level labels. If fewer remain, use those. The Master then shuffles them and returns them to the top, keeping the levels in their required order. Once per game.</w:t>
      </w:r>
    </w:p>
    <w:p>
      <w:pPr/>
      <w:r>
        <w:rPr/>
        <w:t>Shuffle only the viewed cards of the same level with each other. Keep unrevealed cards hidden from the other Stakeholders.</w:t>
      </w:r>
    </w:p>
    <w:p>
      <w:pPr>
        <w:pStyle w:val="Titolo2"/>
      </w:pPr>
      <w:r>
        <w:rPr/>
        <w:t>Remember the timing</w:t>
      </w:r>
    </w:p>
    <w:p>
      <w:pPr/>
      <w:r>
        <w:rPr/>
        <w:t>A card on the table cannot pay an ability cost unless its proposal is withdrawn before voting. You must be able to discard the full number of cards. Using an ability does not grant an extra draw unless the ability says so.</w:t>
      </w:r>
    </w:p>
    <w:p>
      <w:pPr>
        <w:pStyle w:val="Titolo1"/>
        <w:pageBreakBefore/>
      </w:pPr>
      <w:r>
        <w:rPr>
          <w:color w:val="B57812"/>
        </w:rPr>
        <w:t>The Event phase</w:t>
      </w:r>
    </w:p>
    <w:p>
      <w:pPr/>
      <w:r>
        <w:rPr/>
        <w:t>Before revealing the Event, resolve any abilities due before the draw. Use the level scheduled for this year. Read the card and use the matching hazard board.</w:t>
      </w:r>
    </w:p>
    <w:p>
      <w:pPr>
        <w:pStyle w:val="Titolo2"/>
      </w:pPr>
      <w:r>
        <w:rPr/>
        <w:t>I  Forecast</w:t>
      </w:r>
    </w:p>
    <w:p>
      <w:pPr/>
      <w:r>
        <w:drawing>
          <wp:inline xmlns:a="http://schemas.openxmlformats.org/drawingml/2006/main" xmlns:pic="http://schemas.openxmlformats.org/drawingml/2006/picture">
            <wp:extent cx="331200" cy="196930"/>
            <wp:docPr id="27" name="Picture 27" descr="FOR"/>
            <wp:cNvGraphicFramePr>
              <a:graphicFrameLocks noChangeAspect="1"/>
            </wp:cNvGraphicFramePr>
            <a:graphic>
              <a:graphicData uri="http://schemas.openxmlformats.org/drawingml/2006/picture">
                <pic:pic>
                  <pic:nvPicPr>
                    <pic:cNvPr id="0" name="FOR.png"/>
                    <pic:cNvPicPr/>
                  </pic:nvPicPr>
                  <pic:blipFill>
                    <a:blip r:embed="rId24"/>
                    <a:stretch>
                      <a:fillRect/>
                    </a:stretch>
                  </pic:blipFill>
                  <pic:spPr>
                    <a:xfrm>
                      <a:off x="0" y="0"/>
                      <a:ext cx="331200" cy="196930"/>
                    </a:xfrm>
                    <a:prstGeom prst="rect"/>
                  </pic:spPr>
                </pic:pic>
              </a:graphicData>
            </a:graphic>
          </wp:inline>
        </w:drawing>
      </w:r>
      <w:r>
        <w:t xml:space="preserve">  </w:t>
      </w:r>
      <w:r>
        <w:rPr/>
        <w:t xml:space="preserve">Compare </w:t>
      </w:r>
      <w:r>
        <w:rPr>
          <w:b/>
        </w:rPr>
        <w:t>Forecast with the FOR threshold</w:t>
      </w:r>
      <w:r>
        <w:rPr/>
        <w:t xml:space="preserve">. If it meets or exceeds the threshold, apply </w:t>
      </w:r>
      <w:r>
        <w:rPr>
          <w:b/>
        </w:rPr>
        <w:t>Yes</w:t>
      </w:r>
      <w:r>
        <w:rPr/>
        <w:t xml:space="preserve">; otherwise apply </w:t>
      </w:r>
      <w:r>
        <w:rPr>
          <w:b/>
        </w:rPr>
        <w:t>No</w:t>
      </w:r>
      <w:r>
        <w:rPr/>
        <w:t>. Resolve immediate effects and keep any protection to apply to the relevant loss.</w:t>
      </w:r>
    </w:p>
    <w:p>
      <w:pPr>
        <w:pStyle w:val="Titolo2"/>
      </w:pPr>
      <w:r>
        <w:rPr/>
        <w:t>II  Mitigation</w:t>
      </w:r>
    </w:p>
    <w:p>
      <w:pPr/>
      <w:r>
        <w:drawing>
          <wp:inline xmlns:a="http://schemas.openxmlformats.org/drawingml/2006/main" xmlns:pic="http://schemas.openxmlformats.org/drawingml/2006/picture">
            <wp:extent cx="331200" cy="196930"/>
            <wp:docPr id="28" name="Picture 28" descr="MIT"/>
            <wp:cNvGraphicFramePr>
              <a:graphicFrameLocks noChangeAspect="1"/>
            </wp:cNvGraphicFramePr>
            <a:graphic>
              <a:graphicData uri="http://schemas.openxmlformats.org/drawingml/2006/picture">
                <pic:pic>
                  <pic:nvPicPr>
                    <pic:cNvPr id="0" name="MIT.png"/>
                    <pic:cNvPicPr/>
                  </pic:nvPicPr>
                  <pic:blipFill>
                    <a:blip r:embed="rId25"/>
                    <a:stretch>
                      <a:fillRect/>
                    </a:stretch>
                  </pic:blipFill>
                  <pic:spPr>
                    <a:xfrm>
                      <a:off x="0" y="0"/>
                      <a:ext cx="331200" cy="196930"/>
                    </a:xfrm>
                    <a:prstGeom prst="rect"/>
                  </pic:spPr>
                </pic:pic>
              </a:graphicData>
            </a:graphic>
          </wp:inline>
        </w:drawing>
      </w:r>
      <w:r>
        <w:t xml:space="preserve">  </w:t>
      </w:r>
      <w:r>
        <w:rPr/>
        <w:t xml:space="preserve">Calculate </w:t>
      </w:r>
      <w:r>
        <w:rPr>
          <w:b/>
        </w:rPr>
        <w:t>Magnitude − Mitigation</w:t>
      </w:r>
      <w:r>
        <w:rPr/>
        <w:t xml:space="preserve">. Find that column in Phase II: apply its Wealth change, after any protection, and carry the printed </w:t>
      </w:r>
      <w:r>
        <w:rPr>
          <w:b/>
        </w:rPr>
        <w:t>Damage</w:t>
      </w:r>
      <w:r>
        <w:rPr/>
        <w:t xml:space="preserve"> value into Phase III.</w:t>
      </w:r>
    </w:p>
    <w:p>
      <w:pPr>
        <w:pStyle w:val="Titolo2"/>
      </w:pPr>
      <w:r>
        <w:rPr/>
        <w:t>III  Response</w:t>
      </w:r>
    </w:p>
    <w:p>
      <w:pPr/>
      <w:r>
        <w:drawing>
          <wp:inline xmlns:a="http://schemas.openxmlformats.org/drawingml/2006/main" xmlns:pic="http://schemas.openxmlformats.org/drawingml/2006/picture">
            <wp:extent cx="331200" cy="192454"/>
            <wp:docPr id="29" name="Picture 29" descr="RES"/>
            <wp:cNvGraphicFramePr>
              <a:graphicFrameLocks noChangeAspect="1"/>
            </wp:cNvGraphicFramePr>
            <a:graphic>
              <a:graphicData uri="http://schemas.openxmlformats.org/drawingml/2006/picture">
                <pic:pic>
                  <pic:nvPicPr>
                    <pic:cNvPr id="0" name="RES.png"/>
                    <pic:cNvPicPr/>
                  </pic:nvPicPr>
                  <pic:blipFill>
                    <a:blip r:embed="rId26"/>
                    <a:stretch>
                      <a:fillRect/>
                    </a:stretch>
                  </pic:blipFill>
                  <pic:spPr>
                    <a:xfrm>
                      <a:off x="0" y="0"/>
                      <a:ext cx="331200" cy="192454"/>
                    </a:xfrm>
                    <a:prstGeom prst="rect"/>
                  </pic:spPr>
                </pic:pic>
              </a:graphicData>
            </a:graphic>
          </wp:inline>
        </w:drawing>
      </w:r>
      <w:r>
        <w:t xml:space="preserve">  </w:t>
      </w:r>
      <w:r>
        <w:rPr/>
        <w:t xml:space="preserve">Calculate </w:t>
      </w:r>
      <w:r>
        <w:rPr>
          <w:b/>
        </w:rPr>
        <w:t>Damage − Response</w:t>
      </w:r>
      <w:r>
        <w:rPr/>
        <w:t>. Find that column in Phase III: apply its Population and Happiness changes after protection and any timely rescue ability.</w:t>
      </w:r>
    </w:p>
    <w:p>
      <w:pPr/>
      <w:r>
        <w:rPr/>
        <w:t xml:space="preserve">Use column </w:t>
      </w:r>
      <w:r>
        <w:rPr>
          <w:b/>
        </w:rPr>
        <w:t>0</w:t>
      </w:r>
      <w:r>
        <w:rPr/>
        <w:t xml:space="preserve"> for a negative result and </w:t>
      </w:r>
      <w:r>
        <w:rPr>
          <w:b/>
        </w:rPr>
        <w:t>10</w:t>
      </w:r>
      <w:r>
        <w:rPr/>
        <w:t xml:space="preserve"> for a result above 10. Apply Damage modifiers before subtracting Response. Read the result from the table even in column 0.</w:t>
      </w:r>
    </w:p>
    <w:p>
      <w:pPr/>
      <w:r>
        <w:rPr/>
        <w:t xml:space="preserve">A reduction cannot turn a loss into a gain. When halving a loss, round down to a multiple of 5: </w:t>
      </w:r>
      <w:r>
        <w:rPr>
          <w:b/>
        </w:rPr>
        <w:t>15 becomes 5; 25 becomes 10</w:t>
      </w:r>
      <w:r>
        <w:rPr/>
        <w:t>. If both a fixed reduction and halving apply, subtract the fixed reduction first. An effect reducing a loss to 0 takes precedence.</w:t>
      </w:r>
    </w:p>
    <w:p>
      <w:pPr>
        <w:pStyle w:val="Titolo2"/>
      </w:pPr>
      <w:r>
        <w:rPr/>
        <w:t>Read a result from the table</w:t>
      </w:r>
    </w:p>
    <w:p>
      <w:pPr>
        <w:keepNext/>
        <w:jc w:val="center"/>
      </w:pPr>
      <w:r>
        <w:drawing>
          <wp:inline xmlns:a="http://schemas.openxmlformats.org/drawingml/2006/main" xmlns:pic="http://schemas.openxmlformats.org/drawingml/2006/picture">
            <wp:extent cx="5796000" cy="2471824"/>
            <wp:docPr id="30" name="Picture 30" descr="event table"/>
            <wp:cNvGraphicFramePr>
              <a:graphicFrameLocks noChangeAspect="1"/>
            </wp:cNvGraphicFramePr>
            <a:graphic>
              <a:graphicData uri="http://schemas.openxmlformats.org/drawingml/2006/picture">
                <pic:pic>
                  <pic:nvPicPr>
                    <pic:cNvPr id="0" name="event-table.png"/>
                    <pic:cNvPicPr/>
                  </pic:nvPicPr>
                  <pic:blipFill>
                    <a:blip r:embed="rId32"/>
                    <a:stretch>
                      <a:fillRect/>
                    </a:stretch>
                  </pic:blipFill>
                  <pic:spPr>
                    <a:xfrm>
                      <a:off x="0" y="0"/>
                      <a:ext cx="5796000" cy="2471824"/>
                    </a:xfrm>
                    <a:prstGeom prst="rect"/>
                  </pic:spPr>
                </pic:pic>
              </a:graphicData>
            </a:graphic>
          </wp:inline>
        </w:drawing>
      </w:r>
    </w:p>
    <w:p>
      <w:pPr>
        <w:pStyle w:val="Caption"/>
        <w:jc w:val="center"/>
      </w:pPr>
      <w:r>
        <w:rPr/>
        <w:t>The three resolution tables on Flash Flood.</w:t>
      </w:r>
    </w:p>
    <w:p>
      <w:pPr/>
      <w:r>
        <w:rPr>
          <w:b/>
        </w:rPr>
        <w:t>Example.</w:t>
      </w:r>
      <w:r>
        <w:rPr/>
        <w:t xml:space="preserve"> Geolie has 50 in each health statistic. Its flood defences are Forecast </w:t>
      </w:r>
      <w:r>
        <w:rPr>
          <w:b/>
        </w:rPr>
        <w:t>4</w:t>
      </w:r>
      <w:r>
        <w:rPr/>
        <w:t xml:space="preserve">, Mitigation </w:t>
      </w:r>
      <w:r>
        <w:rPr>
          <w:b/>
        </w:rPr>
        <w:t>1</w:t>
      </w:r>
      <w:r>
        <w:rPr/>
        <w:t xml:space="preserve">, Response </w:t>
      </w:r>
      <w:r>
        <w:rPr>
          <w:b/>
        </w:rPr>
        <w:t>1</w:t>
      </w:r>
      <w:r>
        <w:rPr/>
        <w:t>. For this card:</w:t>
      </w:r>
    </w:p>
    <w:p>
      <w:pPr/>
      <w:r>
        <w:rPr>
          <w:b/>
        </w:rPr>
        <w:t>I.</w:t>
      </w:r>
      <w:r>
        <w:rPr/>
        <w:t xml:space="preserve"> Forecast 4 meets the threshold: Population loss is 0 and Happiness rises to </w:t>
      </w:r>
      <w:r>
        <w:rPr>
          <w:b/>
        </w:rPr>
        <w:t>55</w:t>
      </w:r>
      <w:r>
        <w:rPr/>
        <w:t>.</w:t>
        <w:br/>
      </w:r>
      <w:r>
        <w:rPr>
          <w:b/>
        </w:rPr>
        <w:t>II.</w:t>
      </w:r>
      <w:r>
        <w:rPr/>
        <w:t xml:space="preserve"> 3 − 1 = </w:t>
      </w:r>
      <w:r>
        <w:rPr>
          <w:b/>
        </w:rPr>
        <w:t>2</w:t>
      </w:r>
      <w:r>
        <w:rPr/>
        <w:t xml:space="preserve">: lose 15 Wealth and take Damage 2. Wealth becomes </w:t>
      </w:r>
      <w:r>
        <w:rPr>
          <w:b/>
        </w:rPr>
        <w:t>35</w:t>
      </w:r>
      <w:r>
        <w:rPr/>
        <w:t>.</w:t>
        <w:br/>
      </w:r>
      <w:r>
        <w:rPr>
          <w:b/>
        </w:rPr>
        <w:t>III.</w:t>
      </w:r>
      <w:r>
        <w:rPr/>
        <w:t xml:space="preserve"> 2 − 1 = </w:t>
      </w:r>
      <w:r>
        <w:rPr>
          <w:b/>
        </w:rPr>
        <w:t>1</w:t>
      </w:r>
      <w:r>
        <w:rPr/>
        <w:t xml:space="preserve">: the table gives −15 Population and −15 Happiness. Protection cancels the Population loss, so the final values are </w:t>
      </w:r>
      <w:r>
        <w:rPr>
          <w:b/>
        </w:rPr>
        <w:t>Happiness 40, Wealth 35, Population 50</w:t>
      </w:r>
      <w:r>
        <w:rPr/>
        <w:t>.</w:t>
      </w:r>
    </w:p>
    <w:p>
      <w:pPr>
        <w:pStyle w:val="Titolo1"/>
        <w:pageBreakBefore/>
      </w:pPr>
      <w:r>
        <w:rPr>
          <w:color w:val="246E9D"/>
        </w:rPr>
        <w:t>End the year</w:t>
      </w:r>
    </w:p>
    <w:p>
      <w:pPr/>
      <w:r>
        <w:rPr/>
        <w:t xml:space="preserve">After resolving the Event, check survival. If Geolie survives, collect income for its </w:t>
      </w:r>
      <w:r>
        <w:rPr>
          <w:b/>
        </w:rPr>
        <w:t>current Wealth</w:t>
      </w:r>
      <w:r>
        <w:rPr/>
        <w:t xml:space="preserve">, once per year, </w:t>
      </w:r>
      <w:r>
        <w:rPr>
          <w:b/>
        </w:rPr>
        <w:t>including year 6</w:t>
      </w:r>
      <w:r>
        <w:rPr/>
        <w:t>. Add it to the shared treasury.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381"/>
            <w:vAlign w:val="center"/>
            <w:shd w:fill="147D83"/>
            <w:tcMar>
              <w:top w:w="75" w:type="dxa"/>
              <w:bottom w:w="75" w:type="dxa"/>
              <w:left w:w="90" w:type="dxa"/>
              <w:right w:w="90" w:type="dxa"/>
            </w:tcMar>
          </w:tcPr>
          <w:p>
            <w:pPr>
              <w:spacing w:after="0" w:line="247" w:lineRule="auto"/>
            </w:pPr>
            <w:r>
              <w:rPr>
                <w:b/>
                <w:color w:val="FFFFFF"/>
                <w:sz w:val="21"/>
              </w:rPr>
              <w:t>Wealth</w:t>
            </w:r>
          </w:p>
        </w:tc>
        <w:tc>
          <w:tcPr>
            <w:tcW w:type="dxa" w:w="2381"/>
            <w:vAlign w:val="center"/>
            <w:shd w:fill="147D83"/>
            <w:tcMar>
              <w:top w:w="75" w:type="dxa"/>
              <w:bottom w:w="75" w:type="dxa"/>
              <w:left w:w="90" w:type="dxa"/>
              <w:right w:w="90" w:type="dxa"/>
            </w:tcMar>
          </w:tcPr>
          <w:p>
            <w:pPr>
              <w:spacing w:after="0" w:line="247" w:lineRule="auto"/>
              <w:jc w:val="center"/>
            </w:pPr>
            <w:r>
              <w:rPr>
                <w:b/>
                <w:color w:val="FFFFFF"/>
                <w:sz w:val="21"/>
              </w:rPr>
              <w:t>Income</w:t>
            </w:r>
          </w:p>
        </w:tc>
        <w:tc>
          <w:tcPr>
            <w:tcW w:type="dxa" w:w="2381"/>
            <w:vAlign w:val="center"/>
            <w:shd w:fill="147D83"/>
            <w:tcMar>
              <w:top w:w="75" w:type="dxa"/>
              <w:bottom w:w="75" w:type="dxa"/>
              <w:left w:w="90" w:type="dxa"/>
              <w:right w:w="90" w:type="dxa"/>
            </w:tcMar>
          </w:tcPr>
          <w:p>
            <w:pPr>
              <w:spacing w:after="0" w:line="247" w:lineRule="auto"/>
              <w:jc w:val="center"/>
            </w:pPr>
            <w:r>
              <w:rPr>
                <w:b/>
                <w:color w:val="FFFFFF"/>
                <w:sz w:val="21"/>
              </w:rPr>
              <w:t>Wealth</w:t>
            </w:r>
          </w:p>
        </w:tc>
        <w:tc>
          <w:tcPr>
            <w:tcW w:type="dxa" w:w="2381"/>
            <w:vAlign w:val="center"/>
            <w:shd w:fill="147D83"/>
            <w:tcMar>
              <w:top w:w="75" w:type="dxa"/>
              <w:bottom w:w="75" w:type="dxa"/>
              <w:left w:w="90" w:type="dxa"/>
              <w:right w:w="90" w:type="dxa"/>
            </w:tcMar>
          </w:tcPr>
          <w:p>
            <w:pPr>
              <w:spacing w:after="0" w:line="247" w:lineRule="auto"/>
              <w:jc w:val="center"/>
            </w:pPr>
            <w:r>
              <w:rPr>
                <w:b/>
                <w:color w:val="FFFFFF"/>
                <w:sz w:val="21"/>
              </w:rPr>
              <w:t>Income</w:t>
            </w:r>
          </w:p>
        </w:tc>
      </w:tr>
      <w:tr>
        <w:trPr>
          <w:cantSplit/>
        </w:trPr>
        <w:tc>
          <w:tcPr>
            <w:tcW w:type="dxa" w:w="2381"/>
            <w:vAlign w:val="center"/>
            <w:shd w:fill="FFFFFF"/>
            <w:tcMar>
              <w:top w:w="75" w:type="dxa"/>
              <w:bottom w:w="75" w:type="dxa"/>
              <w:left w:w="90" w:type="dxa"/>
              <w:right w:w="90" w:type="dxa"/>
            </w:tcMar>
          </w:tcPr>
          <w:p>
            <w:pPr>
              <w:spacing w:after="0" w:line="247" w:lineRule="auto"/>
            </w:pPr>
            <w:r>
              <w:rPr>
                <w:b w:val="0"/>
                <w:color w:val="202B32"/>
                <w:sz w:val="21"/>
              </w:rPr>
              <w:t>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30</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55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200</w:t>
            </w:r>
          </w:p>
        </w:tc>
      </w:tr>
      <w:tr>
        <w:trPr>
          <w:cantSplit/>
        </w:trPr>
        <w:tc>
          <w:tcPr>
            <w:tcW w:type="dxa" w:w="2381"/>
            <w:vAlign w:val="center"/>
            <w:shd w:fill="F0F6F7"/>
            <w:tcMar>
              <w:top w:w="75" w:type="dxa"/>
              <w:bottom w:w="75" w:type="dxa"/>
              <w:left w:w="90" w:type="dxa"/>
              <w:right w:w="90" w:type="dxa"/>
            </w:tcMar>
          </w:tcPr>
          <w:p>
            <w:pPr>
              <w:spacing w:after="0" w:line="247" w:lineRule="auto"/>
            </w:pPr>
            <w:r>
              <w:rPr>
                <w:b w:val="0"/>
                <w:color w:val="202B32"/>
                <w:sz w:val="21"/>
              </w:rPr>
              <w:t>10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40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60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220</w:t>
            </w:r>
          </w:p>
        </w:tc>
      </w:tr>
      <w:tr>
        <w:trPr>
          <w:cantSplit/>
        </w:trPr>
        <w:tc>
          <w:tcPr>
            <w:tcW w:type="dxa" w:w="2381"/>
            <w:vAlign w:val="center"/>
            <w:shd w:fill="FFFFFF"/>
            <w:tcMar>
              <w:top w:w="75" w:type="dxa"/>
              <w:bottom w:w="75" w:type="dxa"/>
              <w:left w:w="90" w:type="dxa"/>
              <w:right w:w="90" w:type="dxa"/>
            </w:tcMar>
          </w:tcPr>
          <w:p>
            <w:pPr>
              <w:spacing w:after="0" w:line="247" w:lineRule="auto"/>
            </w:pPr>
            <w:r>
              <w:rPr>
                <w:b w:val="0"/>
                <w:color w:val="202B32"/>
                <w:sz w:val="21"/>
              </w:rPr>
              <w:t>15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60</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65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240</w:t>
            </w:r>
          </w:p>
        </w:tc>
      </w:tr>
      <w:tr>
        <w:trPr>
          <w:cantSplit/>
        </w:trPr>
        <w:tc>
          <w:tcPr>
            <w:tcW w:type="dxa" w:w="2381"/>
            <w:vAlign w:val="center"/>
            <w:shd w:fill="F0F6F7"/>
            <w:tcMar>
              <w:top w:w="75" w:type="dxa"/>
              <w:bottom w:w="75" w:type="dxa"/>
              <w:left w:w="90" w:type="dxa"/>
              <w:right w:w="90" w:type="dxa"/>
            </w:tcMar>
          </w:tcPr>
          <w:p>
            <w:pPr>
              <w:spacing w:after="0" w:line="247" w:lineRule="auto"/>
            </w:pPr>
            <w:r>
              <w:rPr>
                <w:b w:val="0"/>
                <w:color w:val="202B32"/>
                <w:sz w:val="21"/>
              </w:rPr>
              <w:t>20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80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70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260</w:t>
            </w:r>
          </w:p>
        </w:tc>
      </w:tr>
      <w:tr>
        <w:trPr>
          <w:cantSplit/>
        </w:trPr>
        <w:tc>
          <w:tcPr>
            <w:tcW w:type="dxa" w:w="2381"/>
            <w:vAlign w:val="center"/>
            <w:shd w:fill="FFFFFF"/>
            <w:tcMar>
              <w:top w:w="75" w:type="dxa"/>
              <w:bottom w:w="75" w:type="dxa"/>
              <w:left w:w="90" w:type="dxa"/>
              <w:right w:w="90" w:type="dxa"/>
            </w:tcMar>
          </w:tcPr>
          <w:p>
            <w:pPr>
              <w:spacing w:after="0" w:line="247" w:lineRule="auto"/>
            </w:pPr>
            <w:r>
              <w:rPr>
                <w:b w:val="0"/>
                <w:color w:val="202B32"/>
                <w:sz w:val="21"/>
              </w:rPr>
              <w:t>25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100</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75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280</w:t>
            </w:r>
          </w:p>
        </w:tc>
      </w:tr>
      <w:tr>
        <w:trPr>
          <w:cantSplit/>
        </w:trPr>
        <w:tc>
          <w:tcPr>
            <w:tcW w:type="dxa" w:w="2381"/>
            <w:vAlign w:val="center"/>
            <w:shd w:fill="F0F6F7"/>
            <w:tcMar>
              <w:top w:w="75" w:type="dxa"/>
              <w:bottom w:w="75" w:type="dxa"/>
              <w:left w:w="90" w:type="dxa"/>
              <w:right w:w="90" w:type="dxa"/>
            </w:tcMar>
          </w:tcPr>
          <w:p>
            <w:pPr>
              <w:spacing w:after="0" w:line="247" w:lineRule="auto"/>
            </w:pPr>
            <w:r>
              <w:rPr>
                <w:b w:val="0"/>
                <w:color w:val="202B32"/>
                <w:sz w:val="21"/>
              </w:rPr>
              <w:t>30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110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80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300</w:t>
            </w:r>
          </w:p>
        </w:tc>
      </w:tr>
      <w:tr>
        <w:trPr>
          <w:cantSplit/>
        </w:trPr>
        <w:tc>
          <w:tcPr>
            <w:tcW w:type="dxa" w:w="2381"/>
            <w:vAlign w:val="center"/>
            <w:shd w:fill="FFFFFF"/>
            <w:tcMar>
              <w:top w:w="75" w:type="dxa"/>
              <w:bottom w:w="75" w:type="dxa"/>
              <w:left w:w="90" w:type="dxa"/>
              <w:right w:w="90" w:type="dxa"/>
            </w:tcMar>
          </w:tcPr>
          <w:p>
            <w:pPr>
              <w:spacing w:after="0" w:line="247" w:lineRule="auto"/>
            </w:pPr>
            <w:r>
              <w:rPr>
                <w:b w:val="0"/>
                <w:color w:val="202B32"/>
                <w:sz w:val="21"/>
              </w:rPr>
              <w:t>35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120</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85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320</w:t>
            </w:r>
          </w:p>
        </w:tc>
      </w:tr>
      <w:tr>
        <w:trPr>
          <w:cantSplit/>
        </w:trPr>
        <w:tc>
          <w:tcPr>
            <w:tcW w:type="dxa" w:w="2381"/>
            <w:vAlign w:val="center"/>
            <w:shd w:fill="F0F6F7"/>
            <w:tcMar>
              <w:top w:w="75" w:type="dxa"/>
              <w:bottom w:w="75" w:type="dxa"/>
              <w:left w:w="90" w:type="dxa"/>
              <w:right w:w="90" w:type="dxa"/>
            </w:tcMar>
          </w:tcPr>
          <w:p>
            <w:pPr>
              <w:spacing w:after="0" w:line="247" w:lineRule="auto"/>
            </w:pPr>
            <w:r>
              <w:rPr>
                <w:b w:val="0"/>
                <w:color w:val="202B32"/>
                <w:sz w:val="21"/>
              </w:rPr>
              <w:t>40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140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90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340</w:t>
            </w:r>
          </w:p>
        </w:tc>
      </w:tr>
      <w:tr>
        <w:trPr>
          <w:cantSplit/>
        </w:trPr>
        <w:tc>
          <w:tcPr>
            <w:tcW w:type="dxa" w:w="2381"/>
            <w:vAlign w:val="center"/>
            <w:shd w:fill="FFFFFF"/>
            <w:tcMar>
              <w:top w:w="75" w:type="dxa"/>
              <w:bottom w:w="75" w:type="dxa"/>
              <w:left w:w="90" w:type="dxa"/>
              <w:right w:w="90" w:type="dxa"/>
            </w:tcMar>
          </w:tcPr>
          <w:p>
            <w:pPr>
              <w:spacing w:after="0" w:line="247" w:lineRule="auto"/>
            </w:pPr>
            <w:r>
              <w:rPr>
                <w:b w:val="0"/>
                <w:color w:val="202B32"/>
                <w:sz w:val="21"/>
              </w:rPr>
              <w:t>45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160</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95</w:t>
            </w:r>
          </w:p>
        </w:tc>
        <w:tc>
          <w:tcPr>
            <w:tcW w:type="dxa" w:w="2381"/>
            <w:vAlign w:val="center"/>
            <w:shd w:fill="FFFFFF"/>
            <w:tcMar>
              <w:top w:w="75" w:type="dxa"/>
              <w:bottom w:w="75" w:type="dxa"/>
              <w:left w:w="90" w:type="dxa"/>
              <w:right w:w="90" w:type="dxa"/>
            </w:tcMar>
          </w:tcPr>
          <w:p>
            <w:pPr>
              <w:spacing w:after="0" w:line="247" w:lineRule="auto"/>
              <w:jc w:val="center"/>
            </w:pPr>
            <w:r>
              <w:rPr>
                <w:b w:val="0"/>
                <w:color w:val="202B32"/>
                <w:sz w:val="21"/>
              </w:rPr>
              <w:t>360</w:t>
            </w:r>
          </w:p>
        </w:tc>
      </w:tr>
      <w:tr>
        <w:trPr>
          <w:cantSplit/>
        </w:trPr>
        <w:tc>
          <w:tcPr>
            <w:tcW w:type="dxa" w:w="2381"/>
            <w:vAlign w:val="center"/>
            <w:shd w:fill="F0F6F7"/>
            <w:tcMar>
              <w:top w:w="75" w:type="dxa"/>
              <w:bottom w:w="75" w:type="dxa"/>
              <w:left w:w="90" w:type="dxa"/>
              <w:right w:w="90" w:type="dxa"/>
            </w:tcMar>
          </w:tcPr>
          <w:p>
            <w:pPr>
              <w:spacing w:after="0" w:line="247" w:lineRule="auto"/>
            </w:pPr>
            <w:r>
              <w:rPr>
                <w:b w:val="0"/>
                <w:color w:val="202B32"/>
                <w:sz w:val="21"/>
              </w:rPr>
              <w:t>50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180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100</w:t>
            </w:r>
          </w:p>
        </w:tc>
        <w:tc>
          <w:tcPr>
            <w:tcW w:type="dxa" w:w="2381"/>
            <w:vAlign w:val="center"/>
            <w:shd w:fill="F0F6F7"/>
            <w:tcMar>
              <w:top w:w="75" w:type="dxa"/>
              <w:bottom w:w="75" w:type="dxa"/>
              <w:left w:w="90" w:type="dxa"/>
              <w:right w:w="90" w:type="dxa"/>
            </w:tcMar>
          </w:tcPr>
          <w:p>
            <w:pPr>
              <w:spacing w:after="0" w:line="247" w:lineRule="auto"/>
              <w:jc w:val="center"/>
            </w:pPr>
            <w:r>
              <w:rPr>
                <w:b w:val="0"/>
                <w:color w:val="202B32"/>
                <w:sz w:val="21"/>
              </w:rPr>
              <w:t>380</w:t>
            </w:r>
          </w:p>
        </w:tc>
      </w:tr>
    </w:tbl>
    <w:p>
      <w:pPr>
        <w:spacing w:after="0" w:before="0" w:line="96" w:lineRule="auto"/>
      </w:pPr>
    </w:p>
    <w:p>
      <w:pPr/>
      <w:r>
        <w:rPr/>
        <w:t>Income is in Geuros. There is no extra income before year 1: start with the 200 Geuros provided during setup.</w:t>
      </w:r>
    </w:p>
    <w:p>
      <w:pPr/>
      <w:r>
        <w:rPr/>
        <w:t>In years 1–5, remove effects whose duration has ended, move the turn marker forward and pass the starting-player marker clockwise. Return or discard cards as instructed; all discards go to the bottom of the owner’s Action deck. Keep resolved Events visible and delayed actions on the Timeline.</w:t>
      </w:r>
    </w:p>
    <w:p>
      <w:pPr/>
      <w:r>
        <w:rPr/>
        <w:t>After collecting turn 6 income, check medals with that turn’s temporary bonuses still active.</w:t>
      </w:r>
    </w:p>
    <w:p>
      <w:pPr>
        <w:pStyle w:val="Titolo2"/>
      </w:pPr>
      <w:r>
        <w:rPr/>
        <w:t>Every year at a glance</w:t>
      </w:r>
    </w:p>
    <w:p>
      <w:pPr/>
      <w:r>
        <w:rPr>
          <w:b/>
        </w:rPr>
        <w:t>ACTION</w:t>
      </w:r>
      <w:r>
        <w:rPr/>
        <w:t xml:space="preserve">  Activate scheduled cards → draw one card (years 2–6) → propose → vote → pay and implement.</w:t>
        <w:br/>
      </w:r>
      <w:r>
        <w:rPr>
          <w:b/>
        </w:rPr>
        <w:t>EVENT</w:t>
      </w:r>
      <w:r>
        <w:rPr/>
        <w:t xml:space="preserve">  Reveal the correct level → Forecast → Magnitude − Mitigation → Damage − Response.</w:t>
        <w:br/>
      </w:r>
      <w:r>
        <w:rPr>
          <w:b/>
        </w:rPr>
        <w:t>YEARS 1–5</w:t>
      </w:r>
      <w:r>
        <w:rPr/>
        <w:t xml:space="preserve">  Check survival → collect income → remove expired effects → pass the starting-player marker.</w:t>
        <w:br/>
      </w:r>
      <w:r>
        <w:rPr>
          <w:b/>
        </w:rPr>
        <w:t>YEAR 6</w:t>
      </w:r>
      <w:r>
        <w:rPr/>
        <w:t xml:space="preserve">  Check survival → collect income → check medals with temporary bonuses still active.</w:t>
      </w:r>
    </w:p>
    <w:p>
      <w:pPr/>
      <w:r>
        <w:rPr>
          <w:b/>
        </w:rPr>
        <w:t>Shared survival first. Personal medals second.</w:t>
      </w:r>
    </w:p>
    <w:sectPr w:rsidR="0070366B">
      <w:footerReference w:type="default" r:id="rId15"/>
      <w:pgSz w:w="11906" w:h="16838"/>
      <w:pgMar w:top="964" w:right="1077" w:bottom="964" w:left="1077" w:header="708"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7D83"/>
        <w:sz w:val="16"/>
      </w:rPr>
      <w:t xml:space="preserve">DANGERS &amp; DWELLERS  /  EXTENDED RULEBOOK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341;p15" o:spid="_x0000_i1025" type="#_x0000_t75" style="width:189.75pt;height:201.75pt;visibility:visible;mso-wrap-style:square" o:bullet="t">
        <v:imagedata r:id="rId1" o:title="" croptop="16560f" cropbottom="25261f" cropleft="21399f" cropright="21381f"/>
      </v:shape>
    </w:pict>
  </w:numPicBullet>
  <w:abstractNum w:abstractNumId="0" w15:restartNumberingAfterBreak="0">
    <w:nsid w:val="02C57A45"/>
    <w:multiLevelType w:val="multilevel"/>
    <w:tmpl w:val="1DF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B5E1D"/>
    <w:multiLevelType w:val="multilevel"/>
    <w:tmpl w:val="908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B093D"/>
    <w:multiLevelType w:val="multilevel"/>
    <w:tmpl w:val="39F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96025"/>
    <w:multiLevelType w:val="multilevel"/>
    <w:tmpl w:val="8C1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67C0C"/>
    <w:multiLevelType w:val="multilevel"/>
    <w:tmpl w:val="387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32658"/>
    <w:multiLevelType w:val="multilevel"/>
    <w:tmpl w:val="5E5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839C6"/>
    <w:multiLevelType w:val="multilevel"/>
    <w:tmpl w:val="426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5236">
    <w:abstractNumId w:val="5"/>
  </w:num>
  <w:num w:numId="2" w16cid:durableId="731004427">
    <w:abstractNumId w:val="4"/>
  </w:num>
  <w:num w:numId="3" w16cid:durableId="424038579">
    <w:abstractNumId w:val="6"/>
  </w:num>
  <w:num w:numId="4" w16cid:durableId="1273703430">
    <w:abstractNumId w:val="3"/>
  </w:num>
  <w:num w:numId="5" w16cid:durableId="1553468934">
    <w:abstractNumId w:val="1"/>
  </w:num>
  <w:num w:numId="6" w16cid:durableId="1482236546">
    <w:abstractNumId w:val="2"/>
  </w:num>
  <w:num w:numId="7" w16cid:durableId="77525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53"/>
    <w:rsid w:val="00083F04"/>
    <w:rsid w:val="000A3753"/>
    <w:rsid w:val="003C399E"/>
    <w:rsid w:val="00475895"/>
    <w:rsid w:val="004D12DB"/>
    <w:rsid w:val="0070366B"/>
    <w:rsid w:val="00976DDC"/>
    <w:rsid w:val="009C3BAF"/>
    <w:rsid w:val="00A71D3A"/>
    <w:rsid w:val="00B92ACE"/>
    <w:rsid w:val="00CE1C0C"/>
    <w:rsid w:val="00D073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E335"/>
  <w15:chartTrackingRefBased/>
  <w15:docId w15:val="{D5328D05-9A95-44DC-A0BE-7E27CACF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spacing w:before="0" w:after="100" w:line="252" w:lineRule="auto"/>
    </w:pPr>
    <w:rPr>
      <w:rFonts w:ascii="Aptos" w:hAnsi="Aptos"/>
      <w:b w:val="0"/>
      <w:color w:val="202B32"/>
      <w:sz w:val="22"/>
      <w:lang w:val="en-US"/>
    </w:rPr>
  </w:style>
  <w:style w:type="paragraph" w:styleId="Titolo1">
    <w:name w:val="heading 1"/>
    <w:basedOn w:val="Normale"/>
    <w:next w:val="Normale"/>
    <w:link w:val="Titolo1Carattere"/>
    <w:uiPriority w:val="9"/>
    <w:qFormat/>
    <w:rsid w:val="000A3753"/>
    <w:pPr>
      <w:keepNext/>
      <w:keepLines/>
      <w:widowControl/>
      <w:spacing w:before="140" w:after="100" w:line="252" w:lineRule="auto"/>
      <w:outlineLvl w:val="0"/>
    </w:pPr>
    <w:rPr>
      <w:rFonts w:cstheme="majorBidi" w:ascii="Aptos" w:hAnsi="Aptos"/>
      <w:b/>
      <w:color w:val="147D83"/>
      <w:sz w:val="42"/>
      <w:szCs w:val="40"/>
    </w:rPr>
  </w:style>
  <w:style w:type="paragraph" w:styleId="Titolo2">
    <w:name w:val="heading 2"/>
    <w:basedOn w:val="Normale"/>
    <w:next w:val="Normale"/>
    <w:link w:val="Titolo2Carattere"/>
    <w:uiPriority w:val="9"/>
    <w:semiHidden/>
    <w:unhideWhenUsed/>
    <w:qFormat/>
    <w:rsid w:val="000A3753"/>
    <w:pPr>
      <w:keepNext/>
      <w:keepLines/>
      <w:widowControl/>
      <w:spacing w:before="140" w:after="100" w:line="252" w:lineRule="auto"/>
      <w:outlineLvl w:val="1"/>
    </w:pPr>
    <w:rPr>
      <w:rFonts w:cstheme="majorBidi" w:ascii="Aptos" w:hAnsi="Aptos"/>
      <w:b/>
      <w:color w:val="246E9D"/>
      <w:sz w:val="26"/>
      <w:szCs w:val="32"/>
    </w:rPr>
  </w:style>
  <w:style w:type="paragraph" w:styleId="Titolo3">
    <w:name w:val="heading 3"/>
    <w:basedOn w:val="Normale"/>
    <w:next w:val="Normale"/>
    <w:link w:val="Titolo3Carattere"/>
    <w:uiPriority w:val="9"/>
    <w:semiHidden/>
    <w:unhideWhenUsed/>
    <w:qFormat/>
    <w:rsid w:val="000A375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A375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A375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A375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A375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A375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A375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A375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A375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A375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A375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A375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A375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A375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A375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A3753"/>
    <w:rPr>
      <w:rFonts w:eastAsiaTheme="majorEastAsia" w:cstheme="majorBidi"/>
      <w:color w:val="272727" w:themeColor="text1" w:themeTint="D8"/>
    </w:rPr>
  </w:style>
  <w:style w:type="paragraph" w:styleId="Titolo">
    <w:name w:val="Title"/>
    <w:basedOn w:val="Normale"/>
    <w:next w:val="Normale"/>
    <w:link w:val="TitoloCarattere"/>
    <w:uiPriority w:val="10"/>
    <w:qFormat/>
    <w:rsid w:val="000A3753"/>
    <w:pPr>
      <w:widowControl/>
      <w:spacing w:after="100" w:line="252" w:lineRule="auto" w:before="0"/>
      <w:contextualSpacing/>
    </w:pPr>
    <w:rPr>
      <w:rFonts w:cstheme="majorBidi" w:ascii="Aptos" w:hAnsi="Aptos"/>
      <w:b/>
      <w:color w:val="173C4D"/>
      <w:spacing w:val="-10"/>
      <w:kern w:val="28"/>
      <w:sz w:val="60"/>
      <w:szCs w:val="56"/>
    </w:rPr>
  </w:style>
  <w:style w:type="character" w:customStyle="1" w:styleId="TitoloCarattere">
    <w:name w:val="Titolo Carattere"/>
    <w:basedOn w:val="Carpredefinitoparagrafo"/>
    <w:link w:val="Titolo"/>
    <w:uiPriority w:val="10"/>
    <w:rsid w:val="000A375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A3753"/>
    <w:pPr>
      <w:widowControl/>
      <w:numPr>
        <w:ilvl w:val="1"/>
      </w:numPr>
      <w:spacing w:before="0" w:after="100" w:line="252" w:lineRule="auto"/>
    </w:pPr>
    <w:rPr>
      <w:rFonts w:cstheme="majorBidi" w:ascii="Aptos" w:hAnsi="Aptos"/>
      <w:b w:val="0"/>
      <w:color w:val="147D83"/>
      <w:spacing w:val="15"/>
      <w:sz w:val="26"/>
      <w:szCs w:val="28"/>
    </w:rPr>
  </w:style>
  <w:style w:type="character" w:customStyle="1" w:styleId="SottotitoloCarattere">
    <w:name w:val="Sottotitolo Carattere"/>
    <w:basedOn w:val="Carpredefinitoparagrafo"/>
    <w:link w:val="Sottotitolo"/>
    <w:uiPriority w:val="11"/>
    <w:rsid w:val="000A375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A375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A3753"/>
    <w:rPr>
      <w:i/>
      <w:iCs/>
      <w:color w:val="404040" w:themeColor="text1" w:themeTint="BF"/>
    </w:rPr>
  </w:style>
  <w:style w:type="paragraph" w:styleId="Paragrafoelenco">
    <w:name w:val="List Paragraph"/>
    <w:basedOn w:val="Normale"/>
    <w:uiPriority w:val="34"/>
    <w:qFormat/>
    <w:rsid w:val="000A3753"/>
    <w:pPr>
      <w:ind w:left="720"/>
      <w:contextualSpacing/>
    </w:pPr>
  </w:style>
  <w:style w:type="character" w:styleId="Enfasiintensa">
    <w:name w:val="Intense Emphasis"/>
    <w:basedOn w:val="Carpredefinitoparagrafo"/>
    <w:uiPriority w:val="21"/>
    <w:qFormat/>
    <w:rsid w:val="000A3753"/>
    <w:rPr>
      <w:i/>
      <w:iCs/>
      <w:color w:val="0F4761" w:themeColor="accent1" w:themeShade="BF"/>
    </w:rPr>
  </w:style>
  <w:style w:type="paragraph" w:styleId="Citazioneintensa">
    <w:name w:val="Intense Quote"/>
    <w:basedOn w:val="Normale"/>
    <w:next w:val="Normale"/>
    <w:link w:val="CitazioneintensaCarattere"/>
    <w:uiPriority w:val="30"/>
    <w:qFormat/>
    <w:rsid w:val="000A3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A3753"/>
    <w:rPr>
      <w:i/>
      <w:iCs/>
      <w:color w:val="0F4761" w:themeColor="accent1" w:themeShade="BF"/>
    </w:rPr>
  </w:style>
  <w:style w:type="character" w:styleId="Riferimentointenso">
    <w:name w:val="Intense Reference"/>
    <w:basedOn w:val="Carpredefinitoparagrafo"/>
    <w:uiPriority w:val="32"/>
    <w:qFormat/>
    <w:rsid w:val="000A3753"/>
    <w:rPr>
      <w:b/>
      <w:bCs/>
      <w:smallCaps/>
      <w:color w:val="0F4761" w:themeColor="accent1" w:themeShade="BF"/>
      <w:spacing w:val="5"/>
    </w:rPr>
  </w:style>
  <w:style w:type="paragraph" w:customStyle="1" w:styleId="Caption">
    <w:name w:val="caption"/>
    <w:pPr>
      <w:widowControl/>
      <w:spacing w:before="0" w:after="100" w:line="252" w:lineRule="auto"/>
    </w:pPr>
    <w:rPr>
      <w:rFonts w:ascii="Aptos" w:hAnsi="Aptos"/>
      <w:b w:val="0"/>
      <w:color w:val="52636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2507</Words>
  <Characters>14292</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Dangers &amp; Dwellers Extended Rulebook</dc:title>
  <dc:subject/>
  <dc:creator>Emanuele Intrieri</dc:creator>
  <cp:keywords/>
  <dc:description/>
  <cp:lastModifiedBy>Emanuele Intrieri</cp:lastModifiedBy>
  <cp:revision>2</cp:revision>
  <dcterms:created xsi:type="dcterms:W3CDTF">2026-03-16T16:10:00Z</dcterms:created>
  <dcterms:modified xsi:type="dcterms:W3CDTF">2026-03-16T16:23:00Z</dcterms:modified>
</cp:coreProperties>
</file>