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olo"/>
      </w:pPr>
      <w:r>
        <w:rPr/>
        <w:t>Dangers &amp; Dwellers</w:t>
      </w:r>
    </w:p>
    <w:p>
      <w:pPr>
        <w:pStyle w:val="Sottotitolo"/>
      </w:pPr>
      <w:r>
        <w:rPr/>
        <w:t>Short rulebook</w:t>
      </w:r>
    </w:p>
    <w:p>
      <w:pPr/>
      <w:r>
        <w:rPr>
          <w:b/>
        </w:rPr>
        <w:t>4–8 Stakeholders  ·  6 years  ·  One shared treasury</w:t>
      </w:r>
    </w:p>
    <w:p>
      <w:pPr/>
      <w:r>
        <w:rPr>
          <w:b/>
        </w:rPr>
        <w:t>Protect Geolie together. Win through your own goals.</w:t>
      </w:r>
      <w:r>
        <w:rPr/>
        <w:t xml:space="preserve"> If Happiness, Wealth or Population reaches </w:t>
      </w:r>
      <w:r>
        <w:rPr>
          <w:b/>
        </w:rPr>
        <w:t>0</w:t>
      </w:r>
      <w:r>
        <w:rPr/>
        <w:t xml:space="preserve">, everyone loses. Survive six years, then the highest personal medal wins: </w:t>
      </w:r>
      <w:r>
        <w:rPr>
          <w:b/>
        </w:rPr>
        <w:t>Gold &gt; Silver &gt; Bronze</w:t>
      </w:r>
      <w:r>
        <w:rPr/>
        <w:t>. Ties share the victory.</w:t>
      </w:r>
    </w:p>
    <w:p>
      <w:pPr>
        <w:pStyle w:val="Titolo2"/>
      </w:pPr>
      <w:r>
        <w:rPr/>
        <w:t>Set up</w:t>
      </w:r>
    </w:p>
    <w:p>
      <w:pPr/>
      <w:r>
        <w:rPr>
          <w:b/>
        </w:rPr>
        <w:t>1. Choose roles.</w:t>
      </w:r>
      <w:r>
        <w:rPr/>
        <w:t xml:space="preserve"> Each player or team takes a different Stakeholder and its Action deck. A team of 2–4 people shares one hand, one ability and one vote. Choose a Master to manage the Event deck.</w:t>
      </w:r>
    </w:p>
    <w:p>
      <w:pPr/>
      <w:r>
        <w:rPr>
          <w:b/>
        </w:rPr>
        <w:t>2. Deal cards.</w:t>
      </w:r>
      <w:r>
        <w:rPr/>
        <w:t xml:space="preserve"> Shuffle each Stakeholder’s Action deck separately. Draw </w:t>
      </w:r>
      <w:r>
        <w:rPr>
          <w:b/>
        </w:rPr>
        <w:t>3 cards</w:t>
      </w:r>
      <w:r>
        <w:rPr/>
        <w:t>; place the rest face down. Keep at most 3 cards in hand.</w:t>
      </w:r>
    </w:p>
    <w:p>
      <w:pPr/>
      <w:r>
        <w:rPr>
          <w:b/>
        </w:rPr>
        <w:t>3. Set the boards.</w:t>
      </w:r>
      <w:r>
        <w:rPr/>
        <w:t xml:space="preserve"> Start Happiness, Wealth and Population at </w:t>
      </w:r>
      <w:r>
        <w:rPr>
          <w:b/>
        </w:rPr>
        <w:t>50</w:t>
      </w:r>
      <w:r>
        <w:rPr/>
        <w:t xml:space="preserve">; all nine defence statistics at </w:t>
      </w:r>
      <w:r>
        <w:rPr>
          <w:b/>
        </w:rPr>
        <w:t>0</w:t>
      </w:r>
      <w:r>
        <w:rPr/>
        <w:t xml:space="preserve">. Put </w:t>
      </w:r>
      <w:r>
        <w:rPr>
          <w:b/>
        </w:rPr>
        <w:t>200 Geuros</w:t>
      </w:r>
      <w:r>
        <w:rPr/>
        <w:t xml:space="preserve"> in the common treasury. Place the turn marker on year 1.</w:t>
      </w:r>
    </w:p>
    <w:p>
      <w:pPr/>
      <w:r>
        <w:rPr>
          <w:b/>
        </w:rPr>
        <w:t>4. Prepare Events.</w:t>
      </w:r>
      <w:r>
        <w:rPr/>
        <w:t xml:space="preserve"> Randomly select 3 Level I, 2 Level II and 1 Level III cards. Stack them face down to be drawn in this order: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21"/>
        <w:gridCol w:w="1134"/>
        <w:gridCol w:w="1134"/>
        <w:gridCol w:w="1134"/>
        <w:gridCol w:w="1134"/>
        <w:gridCol w:w="1134"/>
        <w:gridCol w:w="1134"/>
      </w:tblGrid>
      <w:tr>
        <w:trPr>
          <w:cantSplit/>
          <w:tblHeader/>
        </w:trPr>
        <w:tc>
          <w:tcPr>
            <w:tcW w:type="dxa" w:w="2721"/>
            <w:vAlign w:val="center"/>
            <w:shd w:fill="147D83"/>
            <w:tcMar>
              <w:top w:w="75" w:type="dxa"/>
              <w:bottom w:w="75" w:type="dxa"/>
              <w:left w:w="90" w:type="dxa"/>
              <w:right w:w="90" w:type="dxa"/>
            </w:tcMar>
          </w:tcPr>
          <w:p>
            <w:pPr>
              <w:spacing w:after="0" w:line="247" w:lineRule="auto"/>
            </w:pPr>
            <w:r>
              <w:rPr>
                <w:b/>
                <w:color w:val="FFFFFF"/>
                <w:sz w:val="20"/>
              </w:rPr>
              <w:t>Year</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1</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2</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3</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4</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5</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6</w:t>
            </w:r>
          </w:p>
        </w:tc>
      </w:tr>
      <w:tr>
        <w:trPr>
          <w:cantSplit/>
        </w:trPr>
        <w:tc>
          <w:tcPr>
            <w:tcW w:type="dxa" w:w="2721"/>
            <w:vAlign w:val="center"/>
            <w:shd w:fill="FFFFFF"/>
            <w:tcMar>
              <w:top w:w="75" w:type="dxa"/>
              <w:bottom w:w="75" w:type="dxa"/>
              <w:left w:w="90" w:type="dxa"/>
              <w:right w:w="90" w:type="dxa"/>
            </w:tcMar>
          </w:tcPr>
          <w:p>
            <w:pPr>
              <w:spacing w:after="0" w:line="247" w:lineRule="auto"/>
            </w:pPr>
            <w:r>
              <w:rPr>
                <w:b w:val="0"/>
                <w:color w:val="202B32"/>
                <w:sz w:val="20"/>
              </w:rPr>
              <w:t>Level</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III</w:t>
            </w:r>
          </w:p>
        </w:tc>
      </w:tr>
    </w:tbl>
    <w:p>
      <w:pPr>
        <w:spacing w:after="0" w:before="0" w:line="96" w:lineRule="auto"/>
      </w:pPr>
    </w:p>
    <w:p>
      <w:pPr/>
      <w:r>
        <w:rPr>
          <w:b/>
        </w:rPr>
        <w:t>5. Choose who starts.</w:t>
      </w:r>
      <w:r>
        <w:rPr/>
        <w:t xml:space="preserve"> Proceed clockwise. At the end of each year, the next Stakeholder clockwise becomes the starting player.</w:t>
      </w:r>
    </w:p>
    <w:p>
      <w:pPr>
        <w:pStyle w:val="Titolo2"/>
      </w:pPr>
      <w:r>
        <w:rPr/>
        <w:t>Read the boards</w:t>
      </w:r>
    </w:p>
    <w:p>
      <w:pPr/>
      <w:r>
        <w:drawing>
          <wp:inline xmlns:a="http://schemas.openxmlformats.org/drawingml/2006/main" xmlns:pic="http://schemas.openxmlformats.org/drawingml/2006/picture">
            <wp:extent cx="216000" cy="194494"/>
            <wp:docPr id="1" name="Picture 1" descr="health"/>
            <wp:cNvGraphicFramePr>
              <a:graphicFrameLocks noChangeAspect="1"/>
            </wp:cNvGraphicFramePr>
            <a:graphic>
              <a:graphicData uri="http://schemas.openxmlformats.org/drawingml/2006/picture">
                <pic:pic>
                  <pic:nvPicPr>
                    <pic:cNvPr id="0" name="health.png"/>
                    <pic:cNvPicPr/>
                  </pic:nvPicPr>
                  <pic:blipFill>
                    <a:blip r:embed="rId16"/>
                    <a:stretch>
                      <a:fillRect/>
                    </a:stretch>
                  </pic:blipFill>
                  <pic:spPr>
                    <a:xfrm>
                      <a:off x="0" y="0"/>
                      <a:ext cx="216000" cy="194494"/>
                    </a:xfrm>
                    <a:prstGeom prst="rect"/>
                  </pic:spPr>
                </pic:pic>
              </a:graphicData>
            </a:graphic>
          </wp:inline>
        </w:drawing>
      </w:r>
      <w:r>
        <w:t xml:space="preserve">  </w:t>
      </w:r>
      <w:r>
        <w:rPr>
          <w:b/>
        </w:rPr>
        <w:t>Island health</w:t>
      </w:r>
      <w:r>
        <w:rPr/>
        <w:t xml:space="preserve"> groups Happiness, Wealth and Population.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64"/>
        <w:gridCol w:w="3572"/>
        <w:gridCol w:w="1984"/>
        <w:gridCol w:w="3005"/>
      </w:tblGrid>
      <w:tr>
        <w:trPr>
          <w:cantSplit/>
          <w:tblHeader/>
        </w:trPr>
        <w:tc>
          <w:tcPr>
            <w:tcW w:type="dxa" w:w="964"/>
            <w:vAlign w:val="center"/>
            <w:shd w:fill="147D83"/>
            <w:tcMar>
              <w:top w:w="75" w:type="dxa"/>
              <w:bottom w:w="75" w:type="dxa"/>
              <w:left w:w="90" w:type="dxa"/>
              <w:right w:w="90" w:type="dxa"/>
            </w:tcMar>
          </w:tcPr>
          <w:p>
            <w:pPr>
              <w:spacing w:after="0" w:line="247" w:lineRule="auto"/>
            </w:pPr>
            <w:r>
              <w:rPr>
                <w:b/>
                <w:color w:val="FFFFFF"/>
                <w:sz w:val="21"/>
              </w:rPr>
            </w:r>
          </w:p>
        </w:tc>
        <w:tc>
          <w:tcPr>
            <w:tcW w:type="dxa" w:w="3572"/>
            <w:vAlign w:val="center"/>
            <w:shd w:fill="147D83"/>
            <w:tcMar>
              <w:top w:w="75" w:type="dxa"/>
              <w:bottom w:w="75" w:type="dxa"/>
              <w:left w:w="90" w:type="dxa"/>
              <w:right w:w="90" w:type="dxa"/>
            </w:tcMar>
          </w:tcPr>
          <w:p>
            <w:pPr>
              <w:spacing w:after="0" w:line="247" w:lineRule="auto"/>
              <w:jc w:val="center"/>
            </w:pPr>
            <w:r>
              <w:rPr>
                <w:b/>
                <w:color w:val="FFFFFF"/>
                <w:sz w:val="21"/>
              </w:rPr>
              <w:t>Statistic</w:t>
            </w:r>
          </w:p>
        </w:tc>
        <w:tc>
          <w:tcPr>
            <w:tcW w:type="dxa" w:w="1984"/>
            <w:vAlign w:val="center"/>
            <w:shd w:fill="147D83"/>
            <w:tcMar>
              <w:top w:w="75" w:type="dxa"/>
              <w:bottom w:w="75" w:type="dxa"/>
              <w:left w:w="90" w:type="dxa"/>
              <w:right w:w="90" w:type="dxa"/>
            </w:tcMar>
          </w:tcPr>
          <w:p>
            <w:pPr>
              <w:spacing w:after="0" w:line="247" w:lineRule="auto"/>
              <w:jc w:val="center"/>
            </w:pPr>
            <w:r>
              <w:rPr>
                <w:b/>
                <w:color w:val="FFFFFF"/>
                <w:sz w:val="21"/>
              </w:rPr>
              <w:t>Start</w:t>
            </w:r>
          </w:p>
        </w:tc>
        <w:tc>
          <w:tcPr>
            <w:tcW w:type="dxa" w:w="3005"/>
            <w:vAlign w:val="center"/>
            <w:shd w:fill="147D83"/>
            <w:tcMar>
              <w:top w:w="75" w:type="dxa"/>
              <w:bottom w:w="75" w:type="dxa"/>
              <w:left w:w="90" w:type="dxa"/>
              <w:right w:w="90" w:type="dxa"/>
            </w:tcMar>
          </w:tcPr>
          <w:p>
            <w:pPr>
              <w:spacing w:after="0" w:line="247" w:lineRule="auto"/>
              <w:jc w:val="center"/>
            </w:pPr>
            <w:r>
              <w:rPr>
                <w:b/>
                <w:color w:val="FFFFFF"/>
                <w:sz w:val="21"/>
              </w:rPr>
              <w:t>Range</w:t>
            </w:r>
          </w:p>
        </w:tc>
      </w:tr>
      <w:tr>
        <w:trPr>
          <w:cantSplit/>
        </w:trPr>
        <w:tc>
          <w:tcPr>
            <w:tcW w:type="dxa" w:w="964"/>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81005"/>
                  <wp:docPr id="2" name="Picture 2" descr="HAP"/>
                  <wp:cNvGraphicFramePr>
                    <a:graphicFrameLocks noChangeAspect="1"/>
                  </wp:cNvGraphicFramePr>
                  <a:graphic>
                    <a:graphicData uri="http://schemas.openxmlformats.org/drawingml/2006/picture">
                      <pic:pic>
                        <pic:nvPicPr>
                          <pic:cNvPr id="0" name="HAP.png"/>
                          <pic:cNvPicPr/>
                        </pic:nvPicPr>
                        <pic:blipFill>
                          <a:blip r:embed="rId17"/>
                          <a:stretch>
                            <a:fillRect/>
                          </a:stretch>
                        </pic:blipFill>
                        <pic:spPr>
                          <a:xfrm>
                            <a:off x="0" y="0"/>
                            <a:ext cx="331200" cy="181005"/>
                          </a:xfrm>
                          <a:prstGeom prst="rect"/>
                        </pic:spPr>
                      </pic:pic>
                    </a:graphicData>
                  </a:graphic>
                </wp:inline>
              </w:drawing>
            </w:r>
          </w:p>
        </w:tc>
        <w:tc>
          <w:tcPr>
            <w:tcW w:type="dxa" w:w="3572"/>
            <w:vAlign w:val="center"/>
            <w:shd w:fill="FFFFFF"/>
            <w:tcMar>
              <w:top w:w="75" w:type="dxa"/>
              <w:bottom w:w="75" w:type="dxa"/>
              <w:left w:w="90" w:type="dxa"/>
              <w:right w:w="90" w:type="dxa"/>
            </w:tcMar>
          </w:tcPr>
          <w:p>
            <w:pPr>
              <w:spacing w:after="0" w:line="247" w:lineRule="auto"/>
              <w:jc w:val="center"/>
            </w:pPr>
            <w:r>
              <w:rPr>
                <w:b w:val="0"/>
                <w:color w:val="202B32"/>
                <w:sz w:val="21"/>
              </w:rPr>
              <w:t>Happiness</w:t>
            </w:r>
          </w:p>
        </w:tc>
        <w:tc>
          <w:tcPr>
            <w:tcW w:type="dxa" w:w="1984"/>
            <w:vAlign w:val="center"/>
            <w:shd w:fill="FFFFFF"/>
            <w:tcMar>
              <w:top w:w="75" w:type="dxa"/>
              <w:bottom w:w="75" w:type="dxa"/>
              <w:left w:w="90" w:type="dxa"/>
              <w:right w:w="90" w:type="dxa"/>
            </w:tcMar>
          </w:tcPr>
          <w:p>
            <w:pPr>
              <w:spacing w:after="0" w:line="247" w:lineRule="auto"/>
              <w:jc w:val="center"/>
            </w:pPr>
            <w:r>
              <w:rPr>
                <w:b w:val="0"/>
                <w:color w:val="202B32"/>
                <w:sz w:val="21"/>
              </w:rPr>
              <w:t>50</w:t>
            </w:r>
          </w:p>
        </w:tc>
        <w:tc>
          <w:tcPr>
            <w:tcW w:type="dxa" w:w="3005"/>
            <w:vAlign w:val="center"/>
            <w:shd w:fill="FFFFFF"/>
            <w:tcMar>
              <w:top w:w="75" w:type="dxa"/>
              <w:bottom w:w="75" w:type="dxa"/>
              <w:left w:w="90" w:type="dxa"/>
              <w:right w:w="90" w:type="dxa"/>
            </w:tcMar>
          </w:tcPr>
          <w:p>
            <w:pPr>
              <w:spacing w:after="0" w:line="247" w:lineRule="auto"/>
              <w:jc w:val="center"/>
            </w:pPr>
            <w:r>
              <w:rPr>
                <w:b w:val="0"/>
                <w:color w:val="202B32"/>
                <w:sz w:val="21"/>
              </w:rPr>
              <w:t>0–100</w:t>
            </w:r>
          </w:p>
        </w:tc>
      </w:tr>
      <w:tr>
        <w:trPr>
          <w:cantSplit/>
        </w:trPr>
        <w:tc>
          <w:tcPr>
            <w:tcW w:type="dxa" w:w="964"/>
            <w:vAlign w:val="center"/>
            <w:shd w:fill="F0F6F7"/>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83134"/>
                  <wp:docPr id="3" name="Picture 3" descr="WEA"/>
                  <wp:cNvGraphicFramePr>
                    <a:graphicFrameLocks noChangeAspect="1"/>
                  </wp:cNvGraphicFramePr>
                  <a:graphic>
                    <a:graphicData uri="http://schemas.openxmlformats.org/drawingml/2006/picture">
                      <pic:pic>
                        <pic:nvPicPr>
                          <pic:cNvPr id="0" name="WEA.png"/>
                          <pic:cNvPicPr/>
                        </pic:nvPicPr>
                        <pic:blipFill>
                          <a:blip r:embed="rId18"/>
                          <a:stretch>
                            <a:fillRect/>
                          </a:stretch>
                        </pic:blipFill>
                        <pic:spPr>
                          <a:xfrm>
                            <a:off x="0" y="0"/>
                            <a:ext cx="331200" cy="183134"/>
                          </a:xfrm>
                          <a:prstGeom prst="rect"/>
                        </pic:spPr>
                      </pic:pic>
                    </a:graphicData>
                  </a:graphic>
                </wp:inline>
              </w:drawing>
            </w:r>
          </w:p>
        </w:tc>
        <w:tc>
          <w:tcPr>
            <w:tcW w:type="dxa" w:w="3572"/>
            <w:vAlign w:val="center"/>
            <w:shd w:fill="F0F6F7"/>
            <w:tcMar>
              <w:top w:w="75" w:type="dxa"/>
              <w:bottom w:w="75" w:type="dxa"/>
              <w:left w:w="90" w:type="dxa"/>
              <w:right w:w="90" w:type="dxa"/>
            </w:tcMar>
          </w:tcPr>
          <w:p>
            <w:pPr>
              <w:spacing w:after="0" w:line="247" w:lineRule="auto"/>
              <w:jc w:val="center"/>
            </w:pPr>
            <w:r>
              <w:rPr>
                <w:b w:val="0"/>
                <w:color w:val="202B32"/>
                <w:sz w:val="21"/>
              </w:rPr>
              <w:t>Wealth</w:t>
            </w:r>
          </w:p>
        </w:tc>
        <w:tc>
          <w:tcPr>
            <w:tcW w:type="dxa" w:w="1984"/>
            <w:vAlign w:val="center"/>
            <w:shd w:fill="F0F6F7"/>
            <w:tcMar>
              <w:top w:w="75" w:type="dxa"/>
              <w:bottom w:w="75" w:type="dxa"/>
              <w:left w:w="90" w:type="dxa"/>
              <w:right w:w="90" w:type="dxa"/>
            </w:tcMar>
          </w:tcPr>
          <w:p>
            <w:pPr>
              <w:spacing w:after="0" w:line="247" w:lineRule="auto"/>
              <w:jc w:val="center"/>
            </w:pPr>
            <w:r>
              <w:rPr>
                <w:b w:val="0"/>
                <w:color w:val="202B32"/>
                <w:sz w:val="21"/>
              </w:rPr>
              <w:t>50</w:t>
            </w:r>
          </w:p>
        </w:tc>
        <w:tc>
          <w:tcPr>
            <w:tcW w:type="dxa" w:w="3005"/>
            <w:vAlign w:val="center"/>
            <w:shd w:fill="F0F6F7"/>
            <w:tcMar>
              <w:top w:w="75" w:type="dxa"/>
              <w:bottom w:w="75" w:type="dxa"/>
              <w:left w:w="90" w:type="dxa"/>
              <w:right w:w="90" w:type="dxa"/>
            </w:tcMar>
          </w:tcPr>
          <w:p>
            <w:pPr>
              <w:spacing w:after="0" w:line="247" w:lineRule="auto"/>
              <w:jc w:val="center"/>
            </w:pPr>
            <w:r>
              <w:rPr>
                <w:b w:val="0"/>
                <w:color w:val="202B32"/>
                <w:sz w:val="21"/>
              </w:rPr>
              <w:t>0–100</w:t>
            </w:r>
          </w:p>
        </w:tc>
      </w:tr>
      <w:tr>
        <w:trPr>
          <w:cantSplit/>
        </w:trPr>
        <w:tc>
          <w:tcPr>
            <w:tcW w:type="dxa" w:w="964"/>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87547"/>
                  <wp:docPr id="4" name="Picture 4" descr="POP"/>
                  <wp:cNvGraphicFramePr>
                    <a:graphicFrameLocks noChangeAspect="1"/>
                  </wp:cNvGraphicFramePr>
                  <a:graphic>
                    <a:graphicData uri="http://schemas.openxmlformats.org/drawingml/2006/picture">
                      <pic:pic>
                        <pic:nvPicPr>
                          <pic:cNvPr id="0" name="POP.png"/>
                          <pic:cNvPicPr/>
                        </pic:nvPicPr>
                        <pic:blipFill>
                          <a:blip r:embed="rId19"/>
                          <a:stretch>
                            <a:fillRect/>
                          </a:stretch>
                        </pic:blipFill>
                        <pic:spPr>
                          <a:xfrm>
                            <a:off x="0" y="0"/>
                            <a:ext cx="331200" cy="187547"/>
                          </a:xfrm>
                          <a:prstGeom prst="rect"/>
                        </pic:spPr>
                      </pic:pic>
                    </a:graphicData>
                  </a:graphic>
                </wp:inline>
              </w:drawing>
            </w:r>
          </w:p>
        </w:tc>
        <w:tc>
          <w:tcPr>
            <w:tcW w:type="dxa" w:w="3572"/>
            <w:vAlign w:val="center"/>
            <w:shd w:fill="FFFFFF"/>
            <w:tcMar>
              <w:top w:w="75" w:type="dxa"/>
              <w:bottom w:w="75" w:type="dxa"/>
              <w:left w:w="90" w:type="dxa"/>
              <w:right w:w="90" w:type="dxa"/>
            </w:tcMar>
          </w:tcPr>
          <w:p>
            <w:pPr>
              <w:spacing w:after="0" w:line="247" w:lineRule="auto"/>
              <w:jc w:val="center"/>
            </w:pPr>
            <w:r>
              <w:rPr>
                <w:b w:val="0"/>
                <w:color w:val="202B32"/>
                <w:sz w:val="21"/>
              </w:rPr>
              <w:t>Population</w:t>
            </w:r>
          </w:p>
        </w:tc>
        <w:tc>
          <w:tcPr>
            <w:tcW w:type="dxa" w:w="1984"/>
            <w:vAlign w:val="center"/>
            <w:shd w:fill="FFFFFF"/>
            <w:tcMar>
              <w:top w:w="75" w:type="dxa"/>
              <w:bottom w:w="75" w:type="dxa"/>
              <w:left w:w="90" w:type="dxa"/>
              <w:right w:w="90" w:type="dxa"/>
            </w:tcMar>
          </w:tcPr>
          <w:p>
            <w:pPr>
              <w:spacing w:after="0" w:line="247" w:lineRule="auto"/>
              <w:jc w:val="center"/>
            </w:pPr>
            <w:r>
              <w:rPr>
                <w:b w:val="0"/>
                <w:color w:val="202B32"/>
                <w:sz w:val="21"/>
              </w:rPr>
              <w:t>50</w:t>
            </w:r>
          </w:p>
        </w:tc>
        <w:tc>
          <w:tcPr>
            <w:tcW w:type="dxa" w:w="3005"/>
            <w:vAlign w:val="center"/>
            <w:shd w:fill="FFFFFF"/>
            <w:tcMar>
              <w:top w:w="75" w:type="dxa"/>
              <w:bottom w:w="75" w:type="dxa"/>
              <w:left w:w="90" w:type="dxa"/>
              <w:right w:w="90" w:type="dxa"/>
            </w:tcMar>
          </w:tcPr>
          <w:p>
            <w:pPr>
              <w:spacing w:after="0" w:line="247" w:lineRule="auto"/>
              <w:jc w:val="center"/>
            </w:pPr>
            <w:r>
              <w:rPr>
                <w:b w:val="0"/>
                <w:color w:val="202B32"/>
                <w:sz w:val="21"/>
              </w:rPr>
              <w:t>0–100</w:t>
            </w:r>
          </w:p>
        </w:tc>
      </w:tr>
      <w:tr>
        <w:trPr>
          <w:cantSplit/>
        </w:trPr>
        <w:tc>
          <w:tcPr>
            <w:tcW w:type="dxa" w:w="964"/>
            <w:vAlign w:val="center"/>
            <w:shd w:fill="F0F6F7"/>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96930"/>
                  <wp:docPr id="5" name="Picture 5" descr="FOR"/>
                  <wp:cNvGraphicFramePr>
                    <a:graphicFrameLocks noChangeAspect="1"/>
                  </wp:cNvGraphicFramePr>
                  <a:graphic>
                    <a:graphicData uri="http://schemas.openxmlformats.org/drawingml/2006/picture">
                      <pic:pic>
                        <pic:nvPicPr>
                          <pic:cNvPr id="0" name="FOR.png"/>
                          <pic:cNvPicPr/>
                        </pic:nvPicPr>
                        <pic:blipFill>
                          <a:blip r:embed="rId20"/>
                          <a:stretch>
                            <a:fillRect/>
                          </a:stretch>
                        </pic:blipFill>
                        <pic:spPr>
                          <a:xfrm>
                            <a:off x="0" y="0"/>
                            <a:ext cx="331200" cy="196930"/>
                          </a:xfrm>
                          <a:prstGeom prst="rect"/>
                        </pic:spPr>
                      </pic:pic>
                    </a:graphicData>
                  </a:graphic>
                </wp:inline>
              </w:drawing>
            </w:r>
          </w:p>
        </w:tc>
        <w:tc>
          <w:tcPr>
            <w:tcW w:type="dxa" w:w="3572"/>
            <w:vAlign w:val="center"/>
            <w:shd w:fill="F0F6F7"/>
            <w:tcMar>
              <w:top w:w="75" w:type="dxa"/>
              <w:bottom w:w="75" w:type="dxa"/>
              <w:left w:w="90" w:type="dxa"/>
              <w:right w:w="90" w:type="dxa"/>
            </w:tcMar>
          </w:tcPr>
          <w:p>
            <w:pPr>
              <w:spacing w:after="0" w:line="247" w:lineRule="auto"/>
              <w:jc w:val="center"/>
            </w:pPr>
            <w:r>
              <w:rPr>
                <w:b w:val="0"/>
                <w:color w:val="202B32"/>
                <w:sz w:val="21"/>
              </w:rPr>
              <w:t>Forecast</w:t>
            </w:r>
          </w:p>
        </w:tc>
        <w:tc>
          <w:tcPr>
            <w:tcW w:type="dxa" w:w="1984"/>
            <w:vAlign w:val="center"/>
            <w:shd w:fill="F0F6F7"/>
            <w:tcMar>
              <w:top w:w="75" w:type="dxa"/>
              <w:bottom w:w="75" w:type="dxa"/>
              <w:left w:w="90" w:type="dxa"/>
              <w:right w:w="90" w:type="dxa"/>
            </w:tcMar>
          </w:tcPr>
          <w:p>
            <w:pPr>
              <w:spacing w:after="0" w:line="247" w:lineRule="auto"/>
              <w:jc w:val="center"/>
            </w:pPr>
            <w:r>
              <w:rPr>
                <w:b w:val="0"/>
                <w:color w:val="202B32"/>
                <w:sz w:val="21"/>
              </w:rPr>
              <w:t>0</w:t>
            </w:r>
          </w:p>
        </w:tc>
        <w:tc>
          <w:tcPr>
            <w:tcW w:type="dxa" w:w="3005"/>
            <w:vAlign w:val="center"/>
            <w:shd w:fill="F0F6F7"/>
            <w:tcMar>
              <w:top w:w="75" w:type="dxa"/>
              <w:bottom w:w="75" w:type="dxa"/>
              <w:left w:w="90" w:type="dxa"/>
              <w:right w:w="90" w:type="dxa"/>
            </w:tcMar>
          </w:tcPr>
          <w:p>
            <w:pPr>
              <w:spacing w:after="0" w:line="247" w:lineRule="auto"/>
              <w:jc w:val="center"/>
            </w:pPr>
            <w:r>
              <w:rPr>
                <w:b w:val="0"/>
                <w:color w:val="202B32"/>
                <w:sz w:val="21"/>
              </w:rPr>
              <w:t>0–10 per hazard</w:t>
            </w:r>
          </w:p>
        </w:tc>
      </w:tr>
      <w:tr>
        <w:trPr>
          <w:cantSplit/>
        </w:trPr>
        <w:tc>
          <w:tcPr>
            <w:tcW w:type="dxa" w:w="964"/>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96930"/>
                  <wp:docPr id="6" name="Picture 6" descr="MIT"/>
                  <wp:cNvGraphicFramePr>
                    <a:graphicFrameLocks noChangeAspect="1"/>
                  </wp:cNvGraphicFramePr>
                  <a:graphic>
                    <a:graphicData uri="http://schemas.openxmlformats.org/drawingml/2006/picture">
                      <pic:pic>
                        <pic:nvPicPr>
                          <pic:cNvPr id="0" name="MIT.png"/>
                          <pic:cNvPicPr/>
                        </pic:nvPicPr>
                        <pic:blipFill>
                          <a:blip r:embed="rId21"/>
                          <a:stretch>
                            <a:fillRect/>
                          </a:stretch>
                        </pic:blipFill>
                        <pic:spPr>
                          <a:xfrm>
                            <a:off x="0" y="0"/>
                            <a:ext cx="331200" cy="196930"/>
                          </a:xfrm>
                          <a:prstGeom prst="rect"/>
                        </pic:spPr>
                      </pic:pic>
                    </a:graphicData>
                  </a:graphic>
                </wp:inline>
              </w:drawing>
            </w:r>
          </w:p>
        </w:tc>
        <w:tc>
          <w:tcPr>
            <w:tcW w:type="dxa" w:w="3572"/>
            <w:vAlign w:val="center"/>
            <w:shd w:fill="FFFFFF"/>
            <w:tcMar>
              <w:top w:w="75" w:type="dxa"/>
              <w:bottom w:w="75" w:type="dxa"/>
              <w:left w:w="90" w:type="dxa"/>
              <w:right w:w="90" w:type="dxa"/>
            </w:tcMar>
          </w:tcPr>
          <w:p>
            <w:pPr>
              <w:spacing w:after="0" w:line="247" w:lineRule="auto"/>
              <w:jc w:val="center"/>
            </w:pPr>
            <w:r>
              <w:rPr>
                <w:b w:val="0"/>
                <w:color w:val="202B32"/>
                <w:sz w:val="21"/>
              </w:rPr>
              <w:t>Mitigation</w:t>
            </w:r>
          </w:p>
        </w:tc>
        <w:tc>
          <w:tcPr>
            <w:tcW w:type="dxa" w:w="1984"/>
            <w:vAlign w:val="center"/>
            <w:shd w:fill="FFFFFF"/>
            <w:tcMar>
              <w:top w:w="75" w:type="dxa"/>
              <w:bottom w:w="75" w:type="dxa"/>
              <w:left w:w="90" w:type="dxa"/>
              <w:right w:w="90" w:type="dxa"/>
            </w:tcMar>
          </w:tcPr>
          <w:p>
            <w:pPr>
              <w:spacing w:after="0" w:line="247" w:lineRule="auto"/>
              <w:jc w:val="center"/>
            </w:pPr>
            <w:r>
              <w:rPr>
                <w:b w:val="0"/>
                <w:color w:val="202B32"/>
                <w:sz w:val="21"/>
              </w:rPr>
              <w:t>0</w:t>
            </w:r>
          </w:p>
        </w:tc>
        <w:tc>
          <w:tcPr>
            <w:tcW w:type="dxa" w:w="3005"/>
            <w:vAlign w:val="center"/>
            <w:shd w:fill="FFFFFF"/>
            <w:tcMar>
              <w:top w:w="75" w:type="dxa"/>
              <w:bottom w:w="75" w:type="dxa"/>
              <w:left w:w="90" w:type="dxa"/>
              <w:right w:w="90" w:type="dxa"/>
            </w:tcMar>
          </w:tcPr>
          <w:p>
            <w:pPr>
              <w:spacing w:after="0" w:line="247" w:lineRule="auto"/>
              <w:jc w:val="center"/>
            </w:pPr>
            <w:r>
              <w:rPr>
                <w:b w:val="0"/>
                <w:color w:val="202B32"/>
                <w:sz w:val="21"/>
              </w:rPr>
              <w:t>0–10 per hazard</w:t>
            </w:r>
          </w:p>
        </w:tc>
      </w:tr>
      <w:tr>
        <w:trPr>
          <w:cantSplit/>
        </w:trPr>
        <w:tc>
          <w:tcPr>
            <w:tcW w:type="dxa" w:w="964"/>
            <w:vAlign w:val="center"/>
            <w:shd w:fill="F0F6F7"/>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92454"/>
                  <wp:docPr id="7" name="Picture 7" descr="RES"/>
                  <wp:cNvGraphicFramePr>
                    <a:graphicFrameLocks noChangeAspect="1"/>
                  </wp:cNvGraphicFramePr>
                  <a:graphic>
                    <a:graphicData uri="http://schemas.openxmlformats.org/drawingml/2006/picture">
                      <pic:pic>
                        <pic:nvPicPr>
                          <pic:cNvPr id="0" name="RES.png"/>
                          <pic:cNvPicPr/>
                        </pic:nvPicPr>
                        <pic:blipFill>
                          <a:blip r:embed="rId22"/>
                          <a:stretch>
                            <a:fillRect/>
                          </a:stretch>
                        </pic:blipFill>
                        <pic:spPr>
                          <a:xfrm>
                            <a:off x="0" y="0"/>
                            <a:ext cx="331200" cy="192454"/>
                          </a:xfrm>
                          <a:prstGeom prst="rect"/>
                        </pic:spPr>
                      </pic:pic>
                    </a:graphicData>
                  </a:graphic>
                </wp:inline>
              </w:drawing>
            </w:r>
          </w:p>
        </w:tc>
        <w:tc>
          <w:tcPr>
            <w:tcW w:type="dxa" w:w="3572"/>
            <w:vAlign w:val="center"/>
            <w:shd w:fill="F0F6F7"/>
            <w:tcMar>
              <w:top w:w="75" w:type="dxa"/>
              <w:bottom w:w="75" w:type="dxa"/>
              <w:left w:w="90" w:type="dxa"/>
              <w:right w:w="90" w:type="dxa"/>
            </w:tcMar>
          </w:tcPr>
          <w:p>
            <w:pPr>
              <w:spacing w:after="0" w:line="247" w:lineRule="auto"/>
              <w:jc w:val="center"/>
            </w:pPr>
            <w:r>
              <w:rPr>
                <w:b w:val="0"/>
                <w:color w:val="202B32"/>
                <w:sz w:val="21"/>
              </w:rPr>
              <w:t>Response</w:t>
            </w:r>
          </w:p>
        </w:tc>
        <w:tc>
          <w:tcPr>
            <w:tcW w:type="dxa" w:w="1984"/>
            <w:vAlign w:val="center"/>
            <w:shd w:fill="F0F6F7"/>
            <w:tcMar>
              <w:top w:w="75" w:type="dxa"/>
              <w:bottom w:w="75" w:type="dxa"/>
              <w:left w:w="90" w:type="dxa"/>
              <w:right w:w="90" w:type="dxa"/>
            </w:tcMar>
          </w:tcPr>
          <w:p>
            <w:pPr>
              <w:spacing w:after="0" w:line="247" w:lineRule="auto"/>
              <w:jc w:val="center"/>
            </w:pPr>
            <w:r>
              <w:rPr>
                <w:b w:val="0"/>
                <w:color w:val="202B32"/>
                <w:sz w:val="21"/>
              </w:rPr>
              <w:t>0</w:t>
            </w:r>
          </w:p>
        </w:tc>
        <w:tc>
          <w:tcPr>
            <w:tcW w:type="dxa" w:w="3005"/>
            <w:vAlign w:val="center"/>
            <w:shd w:fill="F0F6F7"/>
            <w:tcMar>
              <w:top w:w="75" w:type="dxa"/>
              <w:bottom w:w="75" w:type="dxa"/>
              <w:left w:w="90" w:type="dxa"/>
              <w:right w:w="90" w:type="dxa"/>
            </w:tcMar>
          </w:tcPr>
          <w:p>
            <w:pPr>
              <w:spacing w:after="0" w:line="247" w:lineRule="auto"/>
              <w:jc w:val="center"/>
            </w:pPr>
            <w:r>
              <w:rPr>
                <w:b w:val="0"/>
                <w:color w:val="202B32"/>
                <w:sz w:val="21"/>
              </w:rPr>
              <w:t>0–10 per hazard</w:t>
            </w:r>
          </w:p>
        </w:tc>
      </w:tr>
    </w:tbl>
    <w:p>
      <w:pPr>
        <w:spacing w:after="0" w:before="0" w:line="96" w:lineRule="auto"/>
      </w:pPr>
    </w:p>
    <w:p>
      <w:pPr/>
      <w:r>
        <w:rPr/>
        <w:t xml:space="preserve">Keep </w:t>
      </w:r>
      <w:r>
        <w:rPr>
          <w:b/>
        </w:rPr>
        <w:t>Geuros separate from Wealth</w:t>
      </w:r>
      <w:r>
        <w:rPr/>
        <w:t>. Each hazard has its own board:</w:t>
      </w:r>
    </w:p>
    <w:p>
      <w:pPr>
        <w:jc w:val="center"/>
      </w:pPr>
      <w:r>
        <w:drawing>
          <wp:inline xmlns:a="http://schemas.openxmlformats.org/drawingml/2006/main" xmlns:pic="http://schemas.openxmlformats.org/drawingml/2006/picture">
            <wp:extent cx="251999" cy="261930"/>
            <wp:docPr id="8" name="Picture 8" descr="floods"/>
            <wp:cNvGraphicFramePr>
              <a:graphicFrameLocks noChangeAspect="1"/>
            </wp:cNvGraphicFramePr>
            <a:graphic>
              <a:graphicData uri="http://schemas.openxmlformats.org/drawingml/2006/picture">
                <pic:pic>
                  <pic:nvPicPr>
                    <pic:cNvPr id="0" name="floods.png"/>
                    <pic:cNvPicPr/>
                  </pic:nvPicPr>
                  <pic:blipFill>
                    <a:blip r:embed="rId23"/>
                    <a:stretch>
                      <a:fillRect/>
                    </a:stretch>
                  </pic:blipFill>
                  <pic:spPr>
                    <a:xfrm>
                      <a:off x="0" y="0"/>
                      <a:ext cx="251999" cy="261930"/>
                    </a:xfrm>
                    <a:prstGeom prst="rect"/>
                  </pic:spPr>
                </pic:pic>
              </a:graphicData>
            </a:graphic>
          </wp:inline>
        </w:drawing>
      </w:r>
      <w:r>
        <w:t xml:space="preserve">  Floods     </w:t>
      </w:r>
      <w:r>
        <w:drawing>
          <wp:inline xmlns:a="http://schemas.openxmlformats.org/drawingml/2006/main" xmlns:pic="http://schemas.openxmlformats.org/drawingml/2006/picture">
            <wp:extent cx="306000" cy="225654"/>
            <wp:docPr id="9" name="Picture 9" descr="landslides"/>
            <wp:cNvGraphicFramePr>
              <a:graphicFrameLocks noChangeAspect="1"/>
            </wp:cNvGraphicFramePr>
            <a:graphic>
              <a:graphicData uri="http://schemas.openxmlformats.org/drawingml/2006/picture">
                <pic:pic>
                  <pic:nvPicPr>
                    <pic:cNvPr id="0" name="landslides.png"/>
                    <pic:cNvPicPr/>
                  </pic:nvPicPr>
                  <pic:blipFill>
                    <a:blip r:embed="rId24"/>
                    <a:stretch>
                      <a:fillRect/>
                    </a:stretch>
                  </pic:blipFill>
                  <pic:spPr>
                    <a:xfrm>
                      <a:off x="0" y="0"/>
                      <a:ext cx="306000" cy="225654"/>
                    </a:xfrm>
                    <a:prstGeom prst="rect"/>
                  </pic:spPr>
                </pic:pic>
              </a:graphicData>
            </a:graphic>
          </wp:inline>
        </w:drawing>
      </w:r>
      <w:r>
        <w:t xml:space="preserve">  Landslides     </w:t>
      </w:r>
      <w:r>
        <w:drawing>
          <wp:inline xmlns:a="http://schemas.openxmlformats.org/drawingml/2006/main" xmlns:pic="http://schemas.openxmlformats.org/drawingml/2006/picture">
            <wp:extent cx="251999" cy="255444"/>
            <wp:docPr id="10" name="Picture 10" descr="earthquakes"/>
            <wp:cNvGraphicFramePr>
              <a:graphicFrameLocks noChangeAspect="1"/>
            </wp:cNvGraphicFramePr>
            <a:graphic>
              <a:graphicData uri="http://schemas.openxmlformats.org/drawingml/2006/picture">
                <pic:pic>
                  <pic:nvPicPr>
                    <pic:cNvPr id="0" name="earthquakes.png"/>
                    <pic:cNvPicPr/>
                  </pic:nvPicPr>
                  <pic:blipFill>
                    <a:blip r:embed="rId25"/>
                    <a:stretch>
                      <a:fillRect/>
                    </a:stretch>
                  </pic:blipFill>
                  <pic:spPr>
                    <a:xfrm>
                      <a:off x="0" y="0"/>
                      <a:ext cx="251999" cy="255444"/>
                    </a:xfrm>
                    <a:prstGeom prst="rect"/>
                  </pic:spPr>
                </pic:pic>
              </a:graphicData>
            </a:graphic>
          </wp:inline>
        </w:drawing>
      </w:r>
      <w:r>
        <w:t xml:space="preserve">  Earthquakes     </w:t>
      </w:r>
    </w:p>
    <w:p>
      <w:pPr/>
      <w:r>
        <w:rPr/>
        <w:t>Apply a card’s changes only to its printed statistics and hazard columns.</w:t>
      </w:r>
    </w:p>
    <w:p>
      <w:pPr>
        <w:pStyle w:val="Titolo1"/>
        <w:pageBreakBefore/>
      </w:pPr>
      <w:r>
        <w:rPr>
          <w:color w:val="147D83"/>
        </w:rPr>
        <w:t>1  Decide and fund</w:t>
      </w:r>
    </w:p>
    <w:p>
      <w:pPr/>
      <w:r>
        <w:rPr>
          <w:b/>
        </w:rPr>
        <w:t>Begin the year.</w:t>
      </w:r>
      <w:r>
        <w:rPr/>
        <w:t xml:space="preserve"> Activate scheduled actions. In years 2–6, each Stakeholder draws </w:t>
      </w:r>
      <w:r>
        <w:rPr>
          <w:b/>
        </w:rPr>
        <w:t>1 card</w:t>
      </w:r>
      <w:r>
        <w:rPr/>
        <w:t xml:space="preserve">. Keep at most </w:t>
      </w:r>
      <w:r>
        <w:rPr>
          <w:b/>
        </w:rPr>
        <w:t>3</w:t>
      </w:r>
      <w:r>
        <w:rPr/>
        <w:t>; put any discarded cards on the bottom of your own deck. No draw in year 1.</w:t>
      </w:r>
    </w:p>
    <w:p>
      <w:pPr/>
      <w:r>
        <w:rPr>
          <w:b/>
        </w:rPr>
        <w:t>Propose.</w:t>
      </w:r>
      <w:r>
        <w:rPr/>
        <w:t xml:space="preserve"> Each Stakeholder, clockwise from the starter, proposes </w:t>
      </w:r>
      <w:r>
        <w:rPr>
          <w:b/>
        </w:rPr>
        <w:t>one card</w:t>
      </w:r>
      <w:r>
        <w:rPr/>
        <w:t xml:space="preserve"> or passes. Discuss your options openly. The treasury is shared.</w:t>
      </w:r>
    </w:p>
    <w:p>
      <w:pPr/>
      <w:r>
        <w:rPr>
          <w:b/>
        </w:rPr>
        <w:t>Vote.</w:t>
      </w:r>
      <w:r>
        <w:rPr/>
        <w:t xml:space="preserve"> Each Stakeholder votes for </w:t>
      </w:r>
      <w:r>
        <w:rPr>
          <w:b/>
        </w:rPr>
        <w:t>one other player’s proposal</w:t>
      </w:r>
      <w:r>
        <w:rPr/>
        <w:t xml:space="preserve">, never their own. Select the top </w:t>
      </w:r>
      <w:r>
        <w:rPr>
          <w:b/>
        </w:rPr>
        <w:t>two</w:t>
      </w:r>
      <w:r>
        <w:rPr/>
        <w:t xml:space="preserve"> cards. A tie affecting a slot gets a runoff; if still tied, choose the cheapest, then draw lots. Unanimous agreement can replace voting.</w:t>
      </w:r>
    </w:p>
    <w:p>
      <w:pPr/>
      <w:r>
        <w:rPr>
          <w:b/>
        </w:rPr>
        <w:t>Fund.</w:t>
      </w:r>
      <w:r>
        <w:rPr/>
        <w:t xml:space="preserve"> Pay the selected cards from the treasury. If funds are insufficient, prioritise the higher-voted card, then the next affordable proposal. Resolve price changes first. Immediate income can fund another selected card without adding a slot. Return unfunded proposals.</w:t>
      </w:r>
    </w:p>
    <w:p>
      <w:pPr>
        <w:keepNext/>
        <w:jc w:val="center"/>
      </w:pPr>
      <w:r>
        <w:drawing>
          <wp:inline xmlns:a="http://schemas.openxmlformats.org/drawingml/2006/main" xmlns:pic="http://schemas.openxmlformats.org/drawingml/2006/picture">
            <wp:extent cx="1692000" cy="2389495"/>
            <wp:docPr id="11" name="Picture 11" descr="research"/>
            <wp:cNvGraphicFramePr>
              <a:graphicFrameLocks noChangeAspect="1"/>
            </wp:cNvGraphicFramePr>
            <a:graphic>
              <a:graphicData uri="http://schemas.openxmlformats.org/drawingml/2006/picture">
                <pic:pic>
                  <pic:nvPicPr>
                    <pic:cNvPr id="0" name="research.png"/>
                    <pic:cNvPicPr/>
                  </pic:nvPicPr>
                  <pic:blipFill>
                    <a:blip r:embed="rId26"/>
                    <a:stretch>
                      <a:fillRect/>
                    </a:stretch>
                  </pic:blipFill>
                  <pic:spPr>
                    <a:xfrm>
                      <a:off x="0" y="0"/>
                      <a:ext cx="1692000" cy="2389495"/>
                    </a:xfrm>
                    <a:prstGeom prst="rect"/>
                  </pic:spPr>
                </pic:pic>
              </a:graphicData>
            </a:graphic>
          </wp:inline>
        </w:drawing>
      </w:r>
    </w:p>
    <w:p>
      <w:pPr>
        <w:pStyle w:val="Caption"/>
        <w:jc w:val="center"/>
      </w:pPr>
      <w:r>
        <w:rPr/>
        <w:t>Cost and implementation time appear at the top of each Action card.</w:t>
      </w:r>
    </w:p>
    <w:p>
      <w:pPr/>
      <w:r>
        <w:rPr>
          <w:b/>
        </w:rPr>
        <w:t>Implement.</w:t>
      </w:r>
      <w:r>
        <w:rPr/>
        <w:t xml:space="preserve"> Time </w:t>
      </w:r>
      <w:r>
        <w:rPr>
          <w:b/>
        </w:rPr>
        <w:t>0</w:t>
      </w:r>
      <w:r>
        <w:rPr/>
        <w:t xml:space="preserve">: now. Time </w:t>
      </w:r>
      <w:r>
        <w:rPr>
          <w:b/>
        </w:rPr>
        <w:t>1</w:t>
      </w:r>
      <w:r>
        <w:rPr/>
        <w:t xml:space="preserve">: next year. Time </w:t>
      </w:r>
      <w:r>
        <w:rPr>
          <w:b/>
        </w:rPr>
        <w:t>2</w:t>
      </w:r>
      <w:r>
        <w:rPr/>
        <w:t>: the year after that. Pay now; place delayed cards on the Timeline. Apply their effects once when they activate, without paying again or using a new slot. Actions due after year 6 do not activate.</w:t>
      </w:r>
    </w:p>
    <w:p>
      <w:pPr/>
      <w:r>
        <w:rPr/>
        <w:t>Keep active cards visible and record temporary modifiers separately, preserving permanent values when bonuses expire. Follow the instructions on each card. All discarded cards go to the bottom of their owner’s deck; active and pending cards stay out of the deck.</w:t>
      </w:r>
    </w:p>
    <w:p>
      <w:pPr>
        <w:pStyle w:val="Titolo1"/>
        <w:pageBreakBefore/>
      </w:pPr>
      <w:r>
        <w:rPr>
          <w:color w:val="B57812"/>
        </w:rPr>
        <w:t>2  Resolve the Event</w:t>
      </w:r>
    </w:p>
    <w:p>
      <w:pPr/>
      <w:r>
        <w:rPr/>
        <w:t>Before revealing the Event, resolve any abilities due before the draw. Use the level scheduled for this year. Read the card and use the matching hazard board.</w:t>
      </w:r>
    </w:p>
    <w:p>
      <w:pPr>
        <w:pStyle w:val="Titolo2"/>
      </w:pPr>
      <w:r>
        <w:rPr/>
        <w:t>I  Forecast</w:t>
      </w:r>
    </w:p>
    <w:p>
      <w:pPr/>
      <w:r>
        <w:drawing>
          <wp:inline xmlns:a="http://schemas.openxmlformats.org/drawingml/2006/main" xmlns:pic="http://schemas.openxmlformats.org/drawingml/2006/picture">
            <wp:extent cx="331200" cy="196930"/>
            <wp:docPr id="12" name="Picture 12" descr="FOR"/>
            <wp:cNvGraphicFramePr>
              <a:graphicFrameLocks noChangeAspect="1"/>
            </wp:cNvGraphicFramePr>
            <a:graphic>
              <a:graphicData uri="http://schemas.openxmlformats.org/drawingml/2006/picture">
                <pic:pic>
                  <pic:nvPicPr>
                    <pic:cNvPr id="0" name="FOR.png"/>
                    <pic:cNvPicPr/>
                  </pic:nvPicPr>
                  <pic:blipFill>
                    <a:blip r:embed="rId20"/>
                    <a:stretch>
                      <a:fillRect/>
                    </a:stretch>
                  </pic:blipFill>
                  <pic:spPr>
                    <a:xfrm>
                      <a:off x="0" y="0"/>
                      <a:ext cx="331200" cy="196930"/>
                    </a:xfrm>
                    <a:prstGeom prst="rect"/>
                  </pic:spPr>
                </pic:pic>
              </a:graphicData>
            </a:graphic>
          </wp:inline>
        </w:drawing>
      </w:r>
      <w:r>
        <w:t xml:space="preserve">  </w:t>
      </w:r>
      <w:r>
        <w:rPr/>
        <w:t xml:space="preserve">Compare </w:t>
      </w:r>
      <w:r>
        <w:rPr>
          <w:b/>
        </w:rPr>
        <w:t>Forecast with the FOR threshold</w:t>
      </w:r>
      <w:r>
        <w:rPr/>
        <w:t xml:space="preserve">. If it meets or exceeds the threshold, apply </w:t>
      </w:r>
      <w:r>
        <w:rPr>
          <w:b/>
        </w:rPr>
        <w:t>Yes</w:t>
      </w:r>
      <w:r>
        <w:rPr/>
        <w:t xml:space="preserve">; otherwise apply </w:t>
      </w:r>
      <w:r>
        <w:rPr>
          <w:b/>
        </w:rPr>
        <w:t>No</w:t>
      </w:r>
      <w:r>
        <w:rPr/>
        <w:t>. Resolve immediate effects and keep any protection to apply to the relevant loss.</w:t>
      </w:r>
    </w:p>
    <w:p>
      <w:pPr>
        <w:pStyle w:val="Titolo2"/>
      </w:pPr>
      <w:r>
        <w:rPr/>
        <w:t>II  Mitigation</w:t>
      </w:r>
    </w:p>
    <w:p>
      <w:pPr/>
      <w:r>
        <w:drawing>
          <wp:inline xmlns:a="http://schemas.openxmlformats.org/drawingml/2006/main" xmlns:pic="http://schemas.openxmlformats.org/drawingml/2006/picture">
            <wp:extent cx="331200" cy="196930"/>
            <wp:docPr id="13" name="Picture 13" descr="MIT"/>
            <wp:cNvGraphicFramePr>
              <a:graphicFrameLocks noChangeAspect="1"/>
            </wp:cNvGraphicFramePr>
            <a:graphic>
              <a:graphicData uri="http://schemas.openxmlformats.org/drawingml/2006/picture">
                <pic:pic>
                  <pic:nvPicPr>
                    <pic:cNvPr id="0" name="MIT.png"/>
                    <pic:cNvPicPr/>
                  </pic:nvPicPr>
                  <pic:blipFill>
                    <a:blip r:embed="rId21"/>
                    <a:stretch>
                      <a:fillRect/>
                    </a:stretch>
                  </pic:blipFill>
                  <pic:spPr>
                    <a:xfrm>
                      <a:off x="0" y="0"/>
                      <a:ext cx="331200" cy="196930"/>
                    </a:xfrm>
                    <a:prstGeom prst="rect"/>
                  </pic:spPr>
                </pic:pic>
              </a:graphicData>
            </a:graphic>
          </wp:inline>
        </w:drawing>
      </w:r>
      <w:r>
        <w:t xml:space="preserve">  </w:t>
      </w:r>
      <w:r>
        <w:rPr/>
        <w:t xml:space="preserve">Calculate </w:t>
      </w:r>
      <w:r>
        <w:rPr>
          <w:b/>
        </w:rPr>
        <w:t>Magnitude − Mitigation</w:t>
      </w:r>
      <w:r>
        <w:rPr/>
        <w:t xml:space="preserve">. Find that column in Phase II: apply its Wealth change, after any protection, and carry the printed </w:t>
      </w:r>
      <w:r>
        <w:rPr>
          <w:b/>
        </w:rPr>
        <w:t>Damage</w:t>
      </w:r>
      <w:r>
        <w:rPr/>
        <w:t xml:space="preserve"> value into Phase III.</w:t>
      </w:r>
    </w:p>
    <w:p>
      <w:pPr>
        <w:pStyle w:val="Titolo2"/>
      </w:pPr>
      <w:r>
        <w:rPr/>
        <w:t>III  Response</w:t>
      </w:r>
    </w:p>
    <w:p>
      <w:pPr/>
      <w:r>
        <w:drawing>
          <wp:inline xmlns:a="http://schemas.openxmlformats.org/drawingml/2006/main" xmlns:pic="http://schemas.openxmlformats.org/drawingml/2006/picture">
            <wp:extent cx="331200" cy="192454"/>
            <wp:docPr id="14" name="Picture 14" descr="RES"/>
            <wp:cNvGraphicFramePr>
              <a:graphicFrameLocks noChangeAspect="1"/>
            </wp:cNvGraphicFramePr>
            <a:graphic>
              <a:graphicData uri="http://schemas.openxmlformats.org/drawingml/2006/picture">
                <pic:pic>
                  <pic:nvPicPr>
                    <pic:cNvPr id="0" name="RES.png"/>
                    <pic:cNvPicPr/>
                  </pic:nvPicPr>
                  <pic:blipFill>
                    <a:blip r:embed="rId22"/>
                    <a:stretch>
                      <a:fillRect/>
                    </a:stretch>
                  </pic:blipFill>
                  <pic:spPr>
                    <a:xfrm>
                      <a:off x="0" y="0"/>
                      <a:ext cx="331200" cy="192454"/>
                    </a:xfrm>
                    <a:prstGeom prst="rect"/>
                  </pic:spPr>
                </pic:pic>
              </a:graphicData>
            </a:graphic>
          </wp:inline>
        </w:drawing>
      </w:r>
      <w:r>
        <w:t xml:space="preserve">  </w:t>
      </w:r>
      <w:r>
        <w:rPr/>
        <w:t xml:space="preserve">Calculate </w:t>
      </w:r>
      <w:r>
        <w:rPr>
          <w:b/>
        </w:rPr>
        <w:t>Damage − Response</w:t>
      </w:r>
      <w:r>
        <w:rPr/>
        <w:t>. Find that column in Phase III: apply its Population and Happiness changes after protection and any timely rescue ability.</w:t>
      </w:r>
    </w:p>
    <w:p>
      <w:pPr/>
      <w:r>
        <w:rPr/>
        <w:t xml:space="preserve">Use column </w:t>
      </w:r>
      <w:r>
        <w:rPr>
          <w:b/>
        </w:rPr>
        <w:t>0</w:t>
      </w:r>
      <w:r>
        <w:rPr/>
        <w:t xml:space="preserve"> for a negative result and </w:t>
      </w:r>
      <w:r>
        <w:rPr>
          <w:b/>
        </w:rPr>
        <w:t>10</w:t>
      </w:r>
      <w:r>
        <w:rPr/>
        <w:t xml:space="preserve"> for a result above 10. Apply Damage modifiers before subtracting Response. Read the result from the table even in column 0.</w:t>
      </w:r>
    </w:p>
    <w:p>
      <w:pPr>
        <w:keepNext/>
        <w:jc w:val="center"/>
      </w:pPr>
      <w:r>
        <w:drawing>
          <wp:inline xmlns:a="http://schemas.openxmlformats.org/drawingml/2006/main" xmlns:pic="http://schemas.openxmlformats.org/drawingml/2006/picture">
            <wp:extent cx="5796000" cy="2471824"/>
            <wp:docPr id="15" name="Picture 15" descr="event table"/>
            <wp:cNvGraphicFramePr>
              <a:graphicFrameLocks noChangeAspect="1"/>
            </wp:cNvGraphicFramePr>
            <a:graphic>
              <a:graphicData uri="http://schemas.openxmlformats.org/drawingml/2006/picture">
                <pic:pic>
                  <pic:nvPicPr>
                    <pic:cNvPr id="0" name="event-table.png"/>
                    <pic:cNvPicPr/>
                  </pic:nvPicPr>
                  <pic:blipFill>
                    <a:blip r:embed="rId27"/>
                    <a:stretch>
                      <a:fillRect/>
                    </a:stretch>
                  </pic:blipFill>
                  <pic:spPr>
                    <a:xfrm>
                      <a:off x="0" y="0"/>
                      <a:ext cx="5796000" cy="2471824"/>
                    </a:xfrm>
                    <a:prstGeom prst="rect"/>
                  </pic:spPr>
                </pic:pic>
              </a:graphicData>
            </a:graphic>
          </wp:inline>
        </w:drawing>
      </w:r>
    </w:p>
    <w:p>
      <w:pPr>
        <w:pStyle w:val="Caption"/>
        <w:jc w:val="center"/>
      </w:pPr>
      <w:r>
        <w:rPr/>
        <w:t>Read the column for your result, then apply that column’s effects.</w:t>
      </w:r>
    </w:p>
    <w:p>
      <w:pPr/>
      <w:r>
        <w:rPr>
          <w:b/>
        </w:rPr>
        <w:t>Example — Flash Flood.</w:t>
      </w:r>
      <w:r>
        <w:rPr/>
        <w:t xml:space="preserve"> With Forecast 4, Mitigation 1 and Response 1: the forecast prevents Population loss and adds 5 Happiness. Then </w:t>
      </w:r>
      <w:r>
        <w:rPr>
          <w:b/>
        </w:rPr>
        <w:t>3 − 1 = 2</w:t>
      </w:r>
      <w:r>
        <w:rPr/>
        <w:t xml:space="preserve"> gives −15 Wealth and Damage 2; </w:t>
      </w:r>
      <w:r>
        <w:rPr>
          <w:b/>
        </w:rPr>
        <w:t>2 − 1 = 1</w:t>
      </w:r>
      <w:r>
        <w:rPr/>
        <w:t xml:space="preserve"> gives −15 Happiness. Starting from 50 each, finish at </w:t>
      </w:r>
      <w:r>
        <w:rPr>
          <w:b/>
        </w:rPr>
        <w:t>Happiness 40, Wealth 35, Population 50</w:t>
      </w:r>
      <w:r>
        <w:rPr/>
        <w:t>.</w:t>
      </w:r>
    </w:p>
    <w:p>
      <w:pPr/>
      <w:r>
        <w:rPr>
          <w:b/>
        </w:rPr>
        <w:t>Rounding.</w:t>
      </w:r>
      <w:r>
        <w:rPr/>
        <w:t xml:space="preserve"> Halve losses, then round down to a multiple of 5: 15 becomes 5. Apply fixed reductions before halving. Never turn a reduced loss into a gain. Resolve protections and timely rescue before applying the loss.</w:t>
      </w:r>
    </w:p>
    <w:p>
      <w:pPr>
        <w:pStyle w:val="Titolo2"/>
      </w:pPr>
      <w:r>
        <w:rPr/>
        <w:t>Finish the year</w:t>
      </w:r>
    </w:p>
    <w:p>
      <w:pPr/>
      <w:r>
        <w:rPr/>
        <w:t xml:space="preserve">Any health statistic at </w:t>
      </w:r>
      <w:r>
        <w:rPr>
          <w:b/>
        </w:rPr>
        <w:t>0</w:t>
      </w:r>
      <w:r>
        <w:rPr/>
        <w:t xml:space="preserve"> means defeat. If alive, add the </w:t>
      </w:r>
      <w:r>
        <w:rPr>
          <w:b/>
        </w:rPr>
        <w:t>income printed beside current Wealth</w:t>
      </w:r>
      <w:r>
        <w:rPr/>
        <w:t xml:space="preserve"> to the treasury, including in year 6. In years 1–5, remove expired effects and pass the starting-player marker clockwise. In year 6, check medals with temporary bonuses still active.</w:t>
      </w:r>
    </w:p>
    <w:p>
      <w:pPr>
        <w:pStyle w:val="Titolo1"/>
        <w:pageBreakBefore/>
      </w:pPr>
      <w:r>
        <w:rPr>
          <w:color w:val="246E9D"/>
        </w:rPr>
        <w:t>3  Abilities and victory</w:t>
      </w:r>
    </w:p>
    <w:p>
      <w:pPr>
        <w:pStyle w:val="Titolo2"/>
      </w:pPr>
      <w:r>
        <w:rPr/>
        <w:t>Use your Stakeholder ability</w:t>
      </w:r>
    </w:p>
    <w:p>
      <w:pPr/>
      <w:r>
        <w:rPr/>
        <w:t xml:space="preserve">Follow its timing and discard cost. Put the discarded cards on the bottom of your deck. No vote or funded-action slot is needed. Use each ability at most </w:t>
      </w:r>
      <w:r>
        <w:rPr>
          <w:b/>
        </w:rPr>
        <w:t>once per turn</w:t>
      </w:r>
      <w:r>
        <w:rPr/>
        <w:t xml:space="preserve">, unless marked </w:t>
      </w:r>
      <w:r>
        <w:rPr>
          <w:b/>
        </w:rPr>
        <w:t>once per game</w:t>
      </w:r>
      <w:r>
        <w:rPr/>
        <w:t>.</w:t>
      </w:r>
    </w:p>
    <w:p>
      <w:pPr/>
      <w:r>
        <w:rPr/>
        <w:t>A proposal is no longer in your hand. Before voting, you may withdraw it to pay an ability cost and make no proposal that year. Unfunded proposals return after funding and may pay for abilities used later.</w:t>
      </w:r>
    </w:p>
    <w:p>
      <w:pPr/>
      <w:r>
        <w:rPr>
          <w:b/>
        </w:rPr>
        <w:t>Scientists — Cassandra.</w:t>
      </w:r>
      <w:r>
        <w:rPr/>
        <w:t xml:space="preserve"> Before voting, discard 3 cards. The Master shows you the next 3 Event cards in random order for 10 seconds, covering their Level labels. If fewer remain, use those. The Master then shuffles them and returns them to the top, keeping the levels in their required order. Once per game.</w:t>
      </w:r>
    </w:p>
    <w:p>
      <w:pPr>
        <w:pStyle w:val="Titolo2"/>
      </w:pPr>
      <w:r>
        <w:rPr/>
        <w:t>Check medals after year 6</w:t>
      </w:r>
    </w:p>
    <w:p>
      <w:pPr/>
      <w:r>
        <w:rPr/>
        <w:t>After collecting turn 6 income, check medals with that turn’s temporary bonuses still active. Earn the highest medal whose conditions you meet. All players tied for the highest earned medal win. If nobody earns a medal, record shared survival with no individual winner.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2324"/>
        <w:gridCol w:w="2324"/>
        <w:gridCol w:w="2324"/>
      </w:tblGrid>
      <w:tr>
        <w:trPr>
          <w:cantSplit/>
          <w:tblHeader/>
        </w:trPr>
        <w:tc>
          <w:tcPr>
            <w:tcW w:type="dxa" w:w="2551"/>
            <w:vAlign w:val="center"/>
            <w:shd w:fill="147D83"/>
            <w:tcMar>
              <w:top w:w="75" w:type="dxa"/>
              <w:bottom w:w="75" w:type="dxa"/>
              <w:left w:w="90" w:type="dxa"/>
              <w:right w:w="90" w:type="dxa"/>
            </w:tcMar>
          </w:tcPr>
          <w:p>
            <w:pPr>
              <w:spacing w:after="0" w:line="247" w:lineRule="auto"/>
            </w:pPr>
            <w:r>
              <w:rPr>
                <w:b/>
                <w:color w:val="FFFFFF"/>
                <w:sz w:val="19"/>
              </w:rPr>
              <w:t>Stakeholder</w:t>
            </w:r>
          </w:p>
        </w:tc>
        <w:tc>
          <w:tcPr>
            <w:tcW w:type="dxa" w:w="2324"/>
            <w:vAlign w:val="center"/>
            <w:shd w:fill="147D83"/>
            <w:tcMar>
              <w:top w:w="75" w:type="dxa"/>
              <w:bottom w:w="75" w:type="dxa"/>
              <w:left w:w="90" w:type="dxa"/>
              <w:right w:w="90" w:type="dxa"/>
            </w:tcMar>
          </w:tcPr>
          <w:p>
            <w:pPr>
              <w:spacing w:after="0" w:line="247" w:lineRule="auto"/>
              <w:jc w:val="center"/>
            </w:pPr>
            <w:r>
              <w:rPr>
                <w:b/>
                <w:color w:val="FFFFFF"/>
                <w:sz w:val="19"/>
              </w:rPr>
              <w:t>Bronze</w:t>
            </w:r>
          </w:p>
        </w:tc>
        <w:tc>
          <w:tcPr>
            <w:tcW w:type="dxa" w:w="2324"/>
            <w:vAlign w:val="center"/>
            <w:shd w:fill="147D83"/>
            <w:tcMar>
              <w:top w:w="75" w:type="dxa"/>
              <w:bottom w:w="75" w:type="dxa"/>
              <w:left w:w="90" w:type="dxa"/>
              <w:right w:w="90" w:type="dxa"/>
            </w:tcMar>
          </w:tcPr>
          <w:p>
            <w:pPr>
              <w:spacing w:after="0" w:line="247" w:lineRule="auto"/>
              <w:jc w:val="center"/>
            </w:pPr>
            <w:r>
              <w:rPr>
                <w:b/>
                <w:color w:val="FFFFFF"/>
                <w:sz w:val="19"/>
              </w:rPr>
              <w:t>Silver</w:t>
            </w:r>
          </w:p>
        </w:tc>
        <w:tc>
          <w:tcPr>
            <w:tcW w:type="dxa" w:w="2324"/>
            <w:vAlign w:val="center"/>
            <w:shd w:fill="147D83"/>
            <w:tcMar>
              <w:top w:w="75" w:type="dxa"/>
              <w:bottom w:w="75" w:type="dxa"/>
              <w:left w:w="90" w:type="dxa"/>
              <w:right w:w="90" w:type="dxa"/>
            </w:tcMar>
          </w:tcPr>
          <w:p>
            <w:pPr>
              <w:spacing w:after="0" w:line="247" w:lineRule="auto"/>
              <w:jc w:val="center"/>
            </w:pPr>
            <w:r>
              <w:rPr>
                <w:b/>
                <w:color w:val="FFFFFF"/>
                <w:sz w:val="19"/>
              </w:rPr>
              <w:t>Gold</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Citizenship</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Happiness ≥ 35</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Happiness ≥ 40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Happiness ≥ 45</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Scientists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Forecast ≥ 4</w:t>
              <w:br/>
              <w:t>in 1 hazard</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Forecast ≥ 4</w:t>
              <w:br/>
              <w:t>in 2 hazards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Forecast ≥ 4</w:t>
              <w:br/>
              <w:t>in all 3</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Local Government</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Wealth ≥ 10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Wealth ≥ 15</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Wealth ≥ 25</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Mass Media</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Population ≥ 40</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Population ≥ 50</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Population ≥ 60</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Ministry of Finance</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Treasury ≥ 250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Treasury ≥ 300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Treasury ≥ 350</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Ministry of Infrastructure</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Mitigation ≥ 3</w:t>
              <w:br/>
              <w:t>in 1 hazard</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Mitigation ≥ 3</w:t>
              <w:br/>
              <w:t>in 2 hazards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Mitigation ≥ 3</w:t>
              <w:br/>
              <w:t>in all 3</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Civil Protection</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Population ≥ 40</w:t>
              <w:br/>
              <w:t>and Wealth ≥ 5</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Population ≥ 45</w:t>
              <w:br/>
              <w:t>and Wealth ≥ 10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Population ≥ 50</w:t>
              <w:br/>
              <w:t>and Wealth ≥ 15</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Firefighters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Response ≥ 5</w:t>
              <w:br/>
              <w:t>in 1 hazard</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Response ≥ 5</w:t>
              <w:br/>
              <w:t>in 2 hazards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Response ≥ 5</w:t>
              <w:br/>
              <w:t>in all 3</w:t>
            </w:r>
          </w:p>
        </w:tc>
      </w:tr>
    </w:tbl>
    <w:p>
      <w:pPr>
        <w:spacing w:after="0" w:before="0" w:line="96" w:lineRule="auto"/>
      </w:pPr>
    </w:p>
    <w:p>
      <w:pPr/>
      <w:r>
        <w:rPr/>
        <w:t xml:space="preserve">Treasury values are in Geuros. Meet </w:t>
      </w:r>
      <w:r>
        <w:rPr>
          <w:b/>
        </w:rPr>
        <w:t>both</w:t>
      </w:r>
      <w:r>
        <w:rPr/>
        <w:t xml:space="preserve"> conditions where two are listed. Count each hazard board separately for Forecast, Mitigation and Response.</w:t>
      </w:r>
    </w:p>
    <w:p>
      <w:pPr>
        <w:pStyle w:val="Titolo2"/>
      </w:pPr>
      <w:r>
        <w:rPr/>
        <w:t>The full year</w:t>
      </w:r>
    </w:p>
    <w:p>
      <w:pPr/>
      <w:r>
        <w:rPr>
          <w:b/>
        </w:rPr>
        <w:t>Activate → Draw → Propose → Vote → Fund → Event → Income</w:t>
      </w:r>
      <w:r>
        <w:rPr/>
        <w:br/>
        <w:t xml:space="preserve">Event order: </w:t>
      </w:r>
      <w:r>
        <w:rPr>
          <w:b/>
        </w:rPr>
        <w:t>I, I, I, II, II, III</w:t>
      </w:r>
      <w:r>
        <w:rPr/>
        <w:t xml:space="preserve"> across the six years.</w:t>
        <w:br/>
        <w:t>Resolve temporary effects and final medals at the times stated above.</w:t>
      </w:r>
    </w:p>
    <w:sectPr w:rsidR="0070366B">
      <w:footerReference w:type="default" r:id="rId15"/>
      <w:pgSz w:w="11906" w:h="16838"/>
      <w:pgMar w:top="964" w:right="1077" w:bottom="964" w:left="1077" w:header="708"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7D83"/>
        <w:sz w:val="16"/>
      </w:rPr>
      <w:t xml:space="preserve">DANGERS &amp; DWELLERS  /  SHORT RULEBOOK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341;p15" o:spid="_x0000_i1025" type="#_x0000_t75" style="width:189.75pt;height:201.75pt;visibility:visible;mso-wrap-style:square" o:bullet="t">
        <v:imagedata r:id="rId1" o:title="" croptop="16560f" cropbottom="25261f" cropleft="21399f" cropright="21381f"/>
      </v:shape>
    </w:pict>
  </w:numPicBullet>
  <w:abstractNum w:abstractNumId="0" w15:restartNumberingAfterBreak="0">
    <w:nsid w:val="02C57A45"/>
    <w:multiLevelType w:val="multilevel"/>
    <w:tmpl w:val="1DF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B5E1D"/>
    <w:multiLevelType w:val="multilevel"/>
    <w:tmpl w:val="908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B093D"/>
    <w:multiLevelType w:val="multilevel"/>
    <w:tmpl w:val="39F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96025"/>
    <w:multiLevelType w:val="multilevel"/>
    <w:tmpl w:val="8C1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67C0C"/>
    <w:multiLevelType w:val="multilevel"/>
    <w:tmpl w:val="387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32658"/>
    <w:multiLevelType w:val="multilevel"/>
    <w:tmpl w:val="5E5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839C6"/>
    <w:multiLevelType w:val="multilevel"/>
    <w:tmpl w:val="426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5236">
    <w:abstractNumId w:val="5"/>
  </w:num>
  <w:num w:numId="2" w16cid:durableId="731004427">
    <w:abstractNumId w:val="4"/>
  </w:num>
  <w:num w:numId="3" w16cid:durableId="424038579">
    <w:abstractNumId w:val="6"/>
  </w:num>
  <w:num w:numId="4" w16cid:durableId="1273703430">
    <w:abstractNumId w:val="3"/>
  </w:num>
  <w:num w:numId="5" w16cid:durableId="1553468934">
    <w:abstractNumId w:val="1"/>
  </w:num>
  <w:num w:numId="6" w16cid:durableId="1482236546">
    <w:abstractNumId w:val="2"/>
  </w:num>
  <w:num w:numId="7" w16cid:durableId="77525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53"/>
    <w:rsid w:val="00083F04"/>
    <w:rsid w:val="000A3753"/>
    <w:rsid w:val="003C399E"/>
    <w:rsid w:val="00475895"/>
    <w:rsid w:val="004D12DB"/>
    <w:rsid w:val="0070366B"/>
    <w:rsid w:val="00976DDC"/>
    <w:rsid w:val="009C3BAF"/>
    <w:rsid w:val="00A71D3A"/>
    <w:rsid w:val="00B92ACE"/>
    <w:rsid w:val="00CE1C0C"/>
    <w:rsid w:val="00D073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E335"/>
  <w15:chartTrackingRefBased/>
  <w15:docId w15:val="{D5328D05-9A95-44DC-A0BE-7E27CACF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spacing w:before="0" w:after="100" w:line="252" w:lineRule="auto"/>
    </w:pPr>
    <w:rPr>
      <w:rFonts w:ascii="Aptos" w:hAnsi="Aptos"/>
      <w:b w:val="0"/>
      <w:color w:val="202B32"/>
      <w:sz w:val="22"/>
      <w:lang w:val="en-US"/>
    </w:rPr>
  </w:style>
  <w:style w:type="paragraph" w:styleId="Titolo1">
    <w:name w:val="heading 1"/>
    <w:basedOn w:val="Normale"/>
    <w:next w:val="Normale"/>
    <w:link w:val="Titolo1Carattere"/>
    <w:uiPriority w:val="9"/>
    <w:qFormat/>
    <w:rsid w:val="000A3753"/>
    <w:pPr>
      <w:keepNext/>
      <w:keepLines/>
      <w:widowControl/>
      <w:spacing w:before="140" w:after="100" w:line="252" w:lineRule="auto"/>
      <w:outlineLvl w:val="0"/>
    </w:pPr>
    <w:rPr>
      <w:rFonts w:cstheme="majorBidi" w:ascii="Aptos" w:hAnsi="Aptos"/>
      <w:b/>
      <w:color w:val="147D83"/>
      <w:sz w:val="42"/>
      <w:szCs w:val="40"/>
    </w:rPr>
  </w:style>
  <w:style w:type="paragraph" w:styleId="Titolo2">
    <w:name w:val="heading 2"/>
    <w:basedOn w:val="Normale"/>
    <w:next w:val="Normale"/>
    <w:link w:val="Titolo2Carattere"/>
    <w:uiPriority w:val="9"/>
    <w:semiHidden/>
    <w:unhideWhenUsed/>
    <w:qFormat/>
    <w:rsid w:val="000A3753"/>
    <w:pPr>
      <w:keepNext/>
      <w:keepLines/>
      <w:widowControl/>
      <w:spacing w:before="140" w:after="100" w:line="252" w:lineRule="auto"/>
      <w:outlineLvl w:val="1"/>
    </w:pPr>
    <w:rPr>
      <w:rFonts w:cstheme="majorBidi" w:ascii="Aptos" w:hAnsi="Aptos"/>
      <w:b/>
      <w:color w:val="246E9D"/>
      <w:sz w:val="26"/>
      <w:szCs w:val="32"/>
    </w:rPr>
  </w:style>
  <w:style w:type="paragraph" w:styleId="Titolo3">
    <w:name w:val="heading 3"/>
    <w:basedOn w:val="Normale"/>
    <w:next w:val="Normale"/>
    <w:link w:val="Titolo3Carattere"/>
    <w:uiPriority w:val="9"/>
    <w:semiHidden/>
    <w:unhideWhenUsed/>
    <w:qFormat/>
    <w:rsid w:val="000A375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A375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A375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A375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A375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A375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A375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A375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A375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A375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A375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A375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A375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A375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A375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A3753"/>
    <w:rPr>
      <w:rFonts w:eastAsiaTheme="majorEastAsia" w:cstheme="majorBidi"/>
      <w:color w:val="272727" w:themeColor="text1" w:themeTint="D8"/>
    </w:rPr>
  </w:style>
  <w:style w:type="paragraph" w:styleId="Titolo">
    <w:name w:val="Title"/>
    <w:basedOn w:val="Normale"/>
    <w:next w:val="Normale"/>
    <w:link w:val="TitoloCarattere"/>
    <w:uiPriority w:val="10"/>
    <w:qFormat/>
    <w:rsid w:val="000A3753"/>
    <w:pPr>
      <w:widowControl/>
      <w:spacing w:after="100" w:line="252" w:lineRule="auto" w:before="0"/>
      <w:contextualSpacing/>
    </w:pPr>
    <w:rPr>
      <w:rFonts w:cstheme="majorBidi" w:ascii="Aptos" w:hAnsi="Aptos"/>
      <w:b/>
      <w:color w:val="173C4D"/>
      <w:spacing w:val="-10"/>
      <w:kern w:val="28"/>
      <w:sz w:val="60"/>
      <w:szCs w:val="56"/>
    </w:rPr>
  </w:style>
  <w:style w:type="character" w:customStyle="1" w:styleId="TitoloCarattere">
    <w:name w:val="Titolo Carattere"/>
    <w:basedOn w:val="Carpredefinitoparagrafo"/>
    <w:link w:val="Titolo"/>
    <w:uiPriority w:val="10"/>
    <w:rsid w:val="000A375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A3753"/>
    <w:pPr>
      <w:widowControl/>
      <w:numPr>
        <w:ilvl w:val="1"/>
      </w:numPr>
      <w:spacing w:before="0" w:after="100" w:line="252" w:lineRule="auto"/>
    </w:pPr>
    <w:rPr>
      <w:rFonts w:cstheme="majorBidi" w:ascii="Aptos" w:hAnsi="Aptos"/>
      <w:b w:val="0"/>
      <w:color w:val="147D83"/>
      <w:spacing w:val="15"/>
      <w:sz w:val="26"/>
      <w:szCs w:val="28"/>
    </w:rPr>
  </w:style>
  <w:style w:type="character" w:customStyle="1" w:styleId="SottotitoloCarattere">
    <w:name w:val="Sottotitolo Carattere"/>
    <w:basedOn w:val="Carpredefinitoparagrafo"/>
    <w:link w:val="Sottotitolo"/>
    <w:uiPriority w:val="11"/>
    <w:rsid w:val="000A375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A375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A3753"/>
    <w:rPr>
      <w:i/>
      <w:iCs/>
      <w:color w:val="404040" w:themeColor="text1" w:themeTint="BF"/>
    </w:rPr>
  </w:style>
  <w:style w:type="paragraph" w:styleId="Paragrafoelenco">
    <w:name w:val="List Paragraph"/>
    <w:basedOn w:val="Normale"/>
    <w:uiPriority w:val="34"/>
    <w:qFormat/>
    <w:rsid w:val="000A3753"/>
    <w:pPr>
      <w:ind w:left="720"/>
      <w:contextualSpacing/>
    </w:pPr>
  </w:style>
  <w:style w:type="character" w:styleId="Enfasiintensa">
    <w:name w:val="Intense Emphasis"/>
    <w:basedOn w:val="Carpredefinitoparagrafo"/>
    <w:uiPriority w:val="21"/>
    <w:qFormat/>
    <w:rsid w:val="000A3753"/>
    <w:rPr>
      <w:i/>
      <w:iCs/>
      <w:color w:val="0F4761" w:themeColor="accent1" w:themeShade="BF"/>
    </w:rPr>
  </w:style>
  <w:style w:type="paragraph" w:styleId="Citazioneintensa">
    <w:name w:val="Intense Quote"/>
    <w:basedOn w:val="Normale"/>
    <w:next w:val="Normale"/>
    <w:link w:val="CitazioneintensaCarattere"/>
    <w:uiPriority w:val="30"/>
    <w:qFormat/>
    <w:rsid w:val="000A3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A3753"/>
    <w:rPr>
      <w:i/>
      <w:iCs/>
      <w:color w:val="0F4761" w:themeColor="accent1" w:themeShade="BF"/>
    </w:rPr>
  </w:style>
  <w:style w:type="character" w:styleId="Riferimentointenso">
    <w:name w:val="Intense Reference"/>
    <w:basedOn w:val="Carpredefinitoparagrafo"/>
    <w:uiPriority w:val="32"/>
    <w:qFormat/>
    <w:rsid w:val="000A3753"/>
    <w:rPr>
      <w:b/>
      <w:bCs/>
      <w:smallCaps/>
      <w:color w:val="0F4761" w:themeColor="accent1" w:themeShade="BF"/>
      <w:spacing w:val="5"/>
    </w:rPr>
  </w:style>
  <w:style w:type="paragraph" w:customStyle="1" w:styleId="Caption">
    <w:name w:val="caption"/>
    <w:pPr>
      <w:widowControl/>
      <w:spacing w:before="0" w:after="100" w:line="252" w:lineRule="auto"/>
    </w:pPr>
    <w:rPr>
      <w:rFonts w:ascii="Aptos" w:hAnsi="Aptos"/>
      <w:b w:val="0"/>
      <w:color w:val="52636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2507</Words>
  <Characters>14292</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Dangers &amp; Dwellers Short Rulebook</dc:title>
  <dc:subject/>
  <dc:creator>Emanuele Intrieri</dc:creator>
  <cp:keywords/>
  <dc:description/>
  <cp:lastModifiedBy>Emanuele Intrieri</cp:lastModifiedBy>
  <cp:revision>2</cp:revision>
  <dcterms:created xsi:type="dcterms:W3CDTF">2026-03-16T16:10:00Z</dcterms:created>
  <dcterms:modified xsi:type="dcterms:W3CDTF">2026-03-16T16:23:00Z</dcterms:modified>
</cp:coreProperties>
</file>