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16" w:space="6"/>
        </w:pBdr>
        <w:spacing w:after="0"/>
      </w:pPr>
      <w:r>
        <w:rPr>
          <w:rFonts w:ascii="Calibri" w:cs="Calibri" w:eastAsia="Calibri" w:hAnsi="Calibri"/>
          <w:b/>
          <w:bCs/>
          <w:color w:val="5C6B7A"/>
          <w:spacing w:val="40"/>
          <w:sz w:val="18"/>
          <w:szCs w:val="18"/>
        </w:rPr>
        <w:t xml:space="preserve">GEOINFOTECH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0F2A43"/>
          <w:sz w:val="40"/>
          <w:szCs w:val="40"/>
        </w:rPr>
        <w:t xml:space="preserve">ELECTION INTELLIGENCE DATA CENTER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6F94"/>
          <w:sz w:val="21"/>
          <w:szCs w:val="21"/>
        </w:rPr>
        <w:t xml:space="preserve">Proposal for the Development of a Centralized Geospatial &amp; Electoral Data Infrastructure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5C6B7A"/>
          <w:sz w:val="17"/>
          <w:szCs w:val="17"/>
        </w:rPr>
        <w:t xml:space="preserve">One-Page Overview  ·  Pilot: Lagos State, Nigeria  ·  Scalable nationally &amp; internationally</w:t>
      </w:r>
    </w:p>
    <w:p>
      <w:pPr>
        <w:spacing w:after="110" w:line="250"/>
      </w:pPr>
      <w:r>
        <w:rPr>
          <w:rFonts w:ascii="Calibri" w:cs="Calibri" w:eastAsia="Calibri" w:hAnsi="Calibri"/>
          <w:color w:val="2A2A2A"/>
          <w:sz w:val="19"/>
          <w:szCs w:val="19"/>
        </w:rPr>
        <w:t xml:space="preserve">The </w:t>
      </w:r>
      <w:r>
        <w:rPr>
          <w:rFonts w:ascii="Calibri" w:cs="Calibri" w:eastAsia="Calibri" w:hAnsi="Calibri"/>
          <w:b/>
          <w:bCs/>
          <w:color w:val="2A2A2A"/>
          <w:sz w:val="19"/>
          <w:szCs w:val="19"/>
        </w:rPr>
        <w:t xml:space="preserve">Election Intelligence Data Center (EIDC)</w:t>
      </w:r>
      <w:r>
        <w:rPr>
          <w:rFonts w:ascii="Calibri" w:cs="Calibri" w:eastAsia="Calibri" w:hAnsi="Calibri"/>
          <w:color w:val="2A2A2A"/>
          <w:sz w:val="19"/>
          <w:szCs w:val="19"/>
        </w:rPr>
        <w:t xml:space="preserve"> is proposed as a centralized geospatial and electoral data infrastructure designed to collect, integrate, analyze, visualize and disseminate election-related data at multiple administrative and electoral levels. The initial implementation focuses on </w:t>
      </w:r>
      <w:r>
        <w:rPr>
          <w:rFonts w:ascii="Calibri" w:cs="Calibri" w:eastAsia="Calibri" w:hAnsi="Calibri"/>
          <w:b/>
          <w:bCs/>
          <w:color w:val="2A2A2A"/>
          <w:sz w:val="19"/>
          <w:szCs w:val="19"/>
        </w:rPr>
        <w:t xml:space="preserve">Lagos State</w:t>
      </w:r>
      <w:r>
        <w:rPr>
          <w:rFonts w:ascii="Calibri" w:cs="Calibri" w:eastAsia="Calibri" w:hAnsi="Calibri"/>
          <w:color w:val="2A2A2A"/>
          <w:sz w:val="19"/>
          <w:szCs w:val="19"/>
        </w:rPr>
        <w:t xml:space="preserve">, integrating historical and current voter-registration and Permanent Voter’s Card (PVC) collection data with a comprehensive geospatial database of polling units, wards and Local Government Areas (LGAs) — with an architecture built to scale nationally and internationally.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F6F94"/>
          <w:sz w:val="21"/>
          <w:szCs w:val="21"/>
        </w:rPr>
        <w:t xml:space="preserve">Aim</w:t>
      </w:r>
    </w:p>
    <w:p>
      <w:pPr>
        <w:spacing w:after="90" w:line="250"/>
      </w:pPr>
      <w:r>
        <w:rPr>
          <w:rFonts w:ascii="Calibri" w:cs="Calibri" w:eastAsia="Calibri" w:hAnsi="Calibri"/>
          <w:color w:val="2A2A2A"/>
          <w:sz w:val="19"/>
          <w:szCs w:val="19"/>
        </w:rPr>
        <w:t xml:space="preserve">To develop a centralized geospatial Election Intelligence Data Center that integrates electoral statistics, PVC-collection data and polling-unit geospatial information to provide spatial analysis, visualization, automated mapping and decision support — measuring </w:t>
      </w:r>
      <w:r>
        <w:rPr>
          <w:rFonts w:ascii="Calibri" w:cs="Calibri" w:eastAsia="Calibri" w:hAnsi="Calibri"/>
          <w:b/>
          <w:bCs/>
          <w:color w:val="2A2A2A"/>
          <w:sz w:val="19"/>
          <w:szCs w:val="19"/>
        </w:rPr>
        <w:t xml:space="preserve">voting strength and electoral readiness</w:t>
      </w:r>
      <w:r>
        <w:rPr>
          <w:rFonts w:ascii="Calibri" w:cs="Calibri" w:eastAsia="Calibri" w:hAnsi="Calibri"/>
          <w:color w:val="2A2A2A"/>
          <w:sz w:val="19"/>
          <w:szCs w:val="19"/>
        </w:rPr>
        <w:t xml:space="preserve"> from the state level down to the LGA, Ward and individual Polling Unit, and tracking change across cycles (2022 vs 2026).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F6F94"/>
          <w:sz w:val="21"/>
          <w:szCs w:val="21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2A2A2A"/>
          <w:sz w:val="19"/>
          <w:szCs w:val="19"/>
        </w:rPr>
        <w:t xml:space="preserve">Integrate and standardize </w:t>
      </w:r>
      <w:r>
        <w:rPr>
          <w:rFonts w:ascii="Calibri" w:cs="Calibri" w:eastAsia="Calibri" w:hAnsi="Calibri"/>
          <w:color w:val="2A2A2A"/>
          <w:sz w:val="19"/>
          <w:szCs w:val="19"/>
        </w:rPr>
        <w:t xml:space="preserve">voter-registration and PVC-collection data across electoral cycles (2022, 2026).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2A2A2A"/>
          <w:sz w:val="19"/>
          <w:szCs w:val="19"/>
        </w:rPr>
        <w:t xml:space="preserve">Build a geospatial electoral database </w:t>
      </w:r>
      <w:r>
        <w:rPr>
          <w:rFonts w:ascii="Calibri" w:cs="Calibri" w:eastAsia="Calibri" w:hAnsi="Calibri"/>
          <w:color w:val="2A2A2A"/>
          <w:sz w:val="19"/>
          <w:szCs w:val="19"/>
        </w:rPr>
        <w:t xml:space="preserve">linking one consistent hierarchy: State → LGA → Ward → Polling Unit.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2A2A2A"/>
          <w:sz w:val="19"/>
          <w:szCs w:val="19"/>
        </w:rPr>
        <w:t xml:space="preserve">Compute key indicators </w:t>
      </w:r>
      <w:r>
        <w:rPr>
          <w:rFonts w:ascii="Calibri" w:cs="Calibri" w:eastAsia="Calibri" w:hAnsi="Calibri"/>
          <w:color w:val="2A2A2A"/>
          <w:sz w:val="19"/>
          <w:szCs w:val="19"/>
        </w:rPr>
        <w:t xml:space="preserve">— total and highest PVCs collected, collection rate, voter and PVC growth, and uncollected-PVC gaps.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2A2A2A"/>
          <w:sz w:val="19"/>
          <w:szCs w:val="19"/>
        </w:rPr>
        <w:t xml:space="preserve">Visualize voting strength </w:t>
      </w:r>
      <w:r>
        <w:rPr>
          <w:rFonts w:ascii="Calibri" w:cs="Calibri" w:eastAsia="Calibri" w:hAnsi="Calibri"/>
          <w:color w:val="2A2A2A"/>
          <w:sz w:val="19"/>
          <w:szCs w:val="19"/>
        </w:rPr>
        <w:t xml:space="preserve">on interactive maps and automated rankings at LGA, Ward and Polling Unit levels.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2A2A2A"/>
          <w:sz w:val="19"/>
          <w:szCs w:val="19"/>
        </w:rPr>
        <w:t xml:space="preserve">Automate standardized campaign &amp; operational maps </w:t>
      </w:r>
      <w:r>
        <w:rPr>
          <w:rFonts w:ascii="Calibri" w:cs="Calibri" w:eastAsia="Calibri" w:hAnsi="Calibri"/>
          <w:color w:val="2A2A2A"/>
          <w:sz w:val="19"/>
          <w:szCs w:val="19"/>
        </w:rPr>
        <w:t xml:space="preserve">for every ward and LGA — batch-generated and exportable to PDF/PNG.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2A2A2A"/>
          <w:sz w:val="19"/>
          <w:szCs w:val="19"/>
        </w:rPr>
        <w:t xml:space="preserve">Deliver an Election Intelligence Dashboard </w:t>
      </w:r>
      <w:r>
        <w:rPr>
          <w:rFonts w:ascii="Calibri" w:cs="Calibri" w:eastAsia="Calibri" w:hAnsi="Calibri"/>
          <w:color w:val="2A2A2A"/>
          <w:sz w:val="19"/>
          <w:szCs w:val="19"/>
        </w:rPr>
        <w:t xml:space="preserve">and a data-mining unit for planning, targeting, reports and downloadable datasets.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F6F94"/>
          <w:sz w:val="21"/>
          <w:szCs w:val="21"/>
        </w:rPr>
        <w:t xml:space="preserve">Expected Outcome</w:t>
      </w:r>
    </w:p>
    <w:p>
      <w:pPr>
        <w:pStyle w:val="ListParagraph"/>
        <w:numPr>
          <w:ilvl w:val="0"/>
          <w:numId w:val="3"/>
        </w:numPr>
        <w:spacing w:after="52" w:line="248"/>
      </w:pPr>
      <w:r>
        <w:rPr>
          <w:rFonts w:ascii="Calibri" w:cs="Calibri" w:eastAsia="Calibri" w:hAnsi="Calibri"/>
          <w:b/>
          <w:bCs/>
          <w:color w:val="2A2A2A"/>
          <w:sz w:val="19"/>
          <w:szCs w:val="19"/>
        </w:rPr>
        <w:t xml:space="preserve">A single, spatial source of truth </w:t>
      </w:r>
      <w:r>
        <w:rPr>
          <w:rFonts w:ascii="Calibri" w:cs="Calibri" w:eastAsia="Calibri" w:hAnsi="Calibri"/>
          <w:color w:val="2A2A2A"/>
          <w:sz w:val="19"/>
          <w:szCs w:val="19"/>
        </w:rPr>
        <w:t xml:space="preserve">for electoral data — accessible and comparable in one place.</w:t>
      </w:r>
    </w:p>
    <w:p>
      <w:pPr>
        <w:pStyle w:val="ListParagraph"/>
        <w:numPr>
          <w:ilvl w:val="0"/>
          <w:numId w:val="3"/>
        </w:numPr>
        <w:spacing w:after="52" w:line="248"/>
      </w:pPr>
      <w:r>
        <w:rPr>
          <w:rFonts w:ascii="Calibri" w:cs="Calibri" w:eastAsia="Calibri" w:hAnsi="Calibri"/>
          <w:b/>
          <w:bCs/>
          <w:color w:val="2A2A2A"/>
          <w:sz w:val="19"/>
          <w:szCs w:val="19"/>
        </w:rPr>
        <w:t xml:space="preserve">A clear view of where voters and PVCs are concentrated </w:t>
      </w:r>
      <w:r>
        <w:rPr>
          <w:rFonts w:ascii="Calibri" w:cs="Calibri" w:eastAsia="Calibri" w:hAnsi="Calibri"/>
          <w:color w:val="2A2A2A"/>
          <w:sz w:val="19"/>
          <w:szCs w:val="19"/>
        </w:rPr>
        <w:t xml:space="preserve">— and where collection is lagging.</w:t>
      </w:r>
    </w:p>
    <w:p>
      <w:pPr>
        <w:pStyle w:val="ListParagraph"/>
        <w:numPr>
          <w:ilvl w:val="0"/>
          <w:numId w:val="3"/>
        </w:numPr>
        <w:spacing w:after="52" w:line="248"/>
      </w:pPr>
      <w:r>
        <w:rPr>
          <w:rFonts w:ascii="Calibri" w:cs="Calibri" w:eastAsia="Calibri" w:hAnsi="Calibri"/>
          <w:b/>
          <w:bCs/>
          <w:color w:val="2A2A2A"/>
          <w:sz w:val="19"/>
          <w:szCs w:val="19"/>
        </w:rPr>
        <w:t xml:space="preserve">Faster, evidence-based planning, </w:t>
      </w:r>
      <w:r>
        <w:rPr>
          <w:rFonts w:ascii="Calibri" w:cs="Calibri" w:eastAsia="Calibri" w:hAnsi="Calibri"/>
          <w:color w:val="2A2A2A"/>
          <w:sz w:val="19"/>
          <w:szCs w:val="19"/>
        </w:rPr>
        <w:t xml:space="preserve">field logistics, monitoring and voter-education activities.</w:t>
      </w:r>
    </w:p>
    <w:p>
      <w:pPr>
        <w:pStyle w:val="ListParagraph"/>
        <w:numPr>
          <w:ilvl w:val="0"/>
          <w:numId w:val="3"/>
        </w:numPr>
        <w:spacing w:after="52" w:line="248"/>
      </w:pPr>
      <w:r>
        <w:rPr>
          <w:rFonts w:ascii="Calibri" w:cs="Calibri" w:eastAsia="Calibri" w:hAnsi="Calibri"/>
          <w:b/>
          <w:bCs/>
          <w:color w:val="2A2A2A"/>
          <w:sz w:val="19"/>
          <w:szCs w:val="19"/>
        </w:rPr>
        <w:t xml:space="preserve">Automated cartography </w:t>
      </w:r>
      <w:r>
        <w:rPr>
          <w:rFonts w:ascii="Calibri" w:cs="Calibri" w:eastAsia="Calibri" w:hAnsi="Calibri"/>
          <w:color w:val="2A2A2A"/>
          <w:sz w:val="19"/>
          <w:szCs w:val="19"/>
        </w:rPr>
        <w:t xml:space="preserve">replacing manual map production with standardized outputs.</w:t>
      </w:r>
    </w:p>
    <w:p>
      <w:pPr>
        <w:pStyle w:val="ListParagraph"/>
        <w:numPr>
          <w:ilvl w:val="0"/>
          <w:numId w:val="3"/>
        </w:numPr>
        <w:spacing w:after="52" w:line="248"/>
      </w:pPr>
      <w:r>
        <w:rPr>
          <w:rFonts w:ascii="Calibri" w:cs="Calibri" w:eastAsia="Calibri" w:hAnsi="Calibri"/>
          <w:b/>
          <w:bCs/>
          <w:color w:val="2A2A2A"/>
          <w:sz w:val="19"/>
          <w:szCs w:val="19"/>
        </w:rPr>
        <w:t xml:space="preserve">A scalable foundation </w:t>
      </w:r>
      <w:r>
        <w:rPr>
          <w:rFonts w:ascii="Calibri" w:cs="Calibri" w:eastAsia="Calibri" w:hAnsi="Calibri"/>
          <w:color w:val="2A2A2A"/>
          <w:sz w:val="19"/>
          <w:szCs w:val="19"/>
        </w:rPr>
        <w:t xml:space="preserve">— extendable to all 36 states and to other countries’ electoral systems.</w:t>
      </w:r>
    </w:p>
    <w:p>
      <w:pPr>
        <w:pBdr>
          <w:top w:val="single" w:color="DCE7EE" w:sz="6" w:space="6"/>
        </w:pBdr>
        <w:shd w:fill="EEF3F6" w:color="auto" w:val="clear"/>
        <w:spacing w:after="0" w:before="150"/>
      </w:pPr>
      <w:r>
        <w:rPr>
          <w:rFonts w:ascii="Calibri" w:cs="Calibri" w:eastAsia="Calibri" w:hAnsi="Calibri"/>
          <w:b/>
          <w:bCs/>
          <w:color w:val="0F2A43"/>
          <w:sz w:val="17"/>
          <w:szCs w:val="17"/>
        </w:rPr>
        <w:t xml:space="preserve">Pilot: Lagos State  ·  20 LGAs · 245 wards · 13,325 polling units  ·  scalable to Nigeria &amp; beyond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5C6B7A"/>
          <w:sz w:val="15"/>
          <w:szCs w:val="15"/>
        </w:rPr>
        <w:t xml:space="preserve">Geoinfotech · Election Intelligence Data Center · quantitative figures pending official INEC &amp; geospatial data load.</w:t>
      </w:r>
    </w:p>
    <w:sectPr>
      <w:pgSz w:w="12240" w:h="15840" w:orient="portrait"/>
      <w:pgMar w:top="1080" w:right="1150" w:bottom="9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420" w:hanging="270"/>
      </w:pPr>
      <w:rPr>
        <w:color w:val="0F2A4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A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Election Intelligence Data Center — One-Page Overview</dc:title>
  <dc:creator>Geoinfotech</dc:creator>
  <cp:lastModifiedBy>Un-named</cp:lastModifiedBy>
  <cp:revision>1</cp:revision>
  <dcterms:created xsi:type="dcterms:W3CDTF">2026-08-19T12:02:04.692Z</dcterms:created>
  <dcterms:modified xsi:type="dcterms:W3CDTF">2026-08-19T12:02:04.707Z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