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18" w:space="8"/>
        </w:pBdr>
        <w:spacing w:after="0" w:before="900"/>
      </w:pPr>
      <w:r>
        <w:rPr>
          <w:rFonts w:ascii="Calibri" w:cs="Calibri" w:eastAsia="Calibri" w:hAnsi="Calibri"/>
          <w:b/>
          <w:bCs/>
          <w:color w:val="5C6B7A"/>
          <w:spacing w:val="60"/>
          <w:sz w:val="26"/>
          <w:szCs w:val="26"/>
        </w:rPr>
        <w:t xml:space="preserve">GEOINFOTECH</w:t>
      </w:r>
    </w:p>
    <w:p>
      <w:pPr>
        <w:spacing w:after="60" w:before="420"/>
      </w:pPr>
      <w:r>
        <w:rPr>
          <w:rFonts w:ascii="Calibri" w:cs="Calibri" w:eastAsia="Calibri" w:hAnsi="Calibri"/>
          <w:b/>
          <w:bCs/>
          <w:color w:val="0F2A43"/>
          <w:sz w:val="64"/>
          <w:szCs w:val="64"/>
        </w:rPr>
        <w:t xml:space="preserve">ELECTION DATA CENTER</w:t>
      </w:r>
    </w:p>
    <w:p>
      <w:pPr>
        <w:spacing w:after="40"/>
      </w:pPr>
      <w:r>
        <w:rPr>
          <w:rFonts w:ascii="Calibri" w:cs="Calibri" w:eastAsia="Calibri" w:hAnsi="Calibri"/>
          <w:color w:val="1F6F94"/>
          <w:sz w:val="30"/>
          <w:szCs w:val="30"/>
        </w:rPr>
        <w:t xml:space="preserve">A Geospatial Voter-Intelligence &amp; Campaign-Analytics Platform for Lagos State</w:t>
      </w:r>
    </w:p>
    <w:p>
      <w:pPr>
        <w:spacing w:after="520"/>
      </w:pPr>
      <w:r>
        <w:rPr>
          <w:rFonts w:ascii="Calibri" w:cs="Calibri" w:eastAsia="Calibri" w:hAnsi="Calibri"/>
          <w:i/>
          <w:iCs/>
          <w:color w:val="5C6B7A"/>
          <w:sz w:val="22"/>
          <w:szCs w:val="22"/>
        </w:rPr>
        <w:t xml:space="preserve">Mapping voting strength from LGA to ward to polling unit — powered by PVC collection, the voter register, and the polling-unit geospatial database.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2A43"/>
          <w:sz w:val="24"/>
          <w:szCs w:val="24"/>
        </w:rPr>
        <w:t xml:space="preserve">Concept &amp; Technical Proposal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by: Geoinfotech — GIS Team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Date: 17 August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C6B7A"/>
          <w:sz w:val="20"/>
          <w:szCs w:val="20"/>
        </w:rPr>
        <w:t xml:space="preserve">Status: Concept draft · figures shown are sample/illustrative data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1. Executive Summary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Election Data Center (EDC)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a proposed geospatial voter-intelligence platform that turns two routine but under-exploited electoral datasets —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Permanent Voter Card (PVC) collection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registered-voter register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into a live map of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voting strength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across Lagos State. By joining these figures to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polling-unit geospatial database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the EDC can measure, rank and visualise electoral readiness at three nested levels: the 20 Local Government Areas, the 245 wards (Registration Areas), and all 13,325 polling units.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Comparing the 2022 baseline against the 2026 cycle exposes exactly where the electorate is growing, where PVC collection is lagging, and where a campaign should concentrate mobilisation. The same engine feeds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data-mining unit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that produces ward-by-ward campaign maps, target lists and priority scores for field teams. This document sets out the concept, the data model, the analytics, the mapping framework, the application architecture and a phased delivery plan.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F2A43"/>
          <w:sz w:val="21"/>
          <w:szCs w:val="21"/>
        </w:rPr>
        <w:t xml:space="preserve">Illustrative headline figures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(built on sample data anchored to Lagos control totals of 7,060,195 registered voters, 20 LGAs, 245 wards and 13,325 polling units):</w:t>
      </w:r>
    </w:p>
    <w:tbl>
      <w:tblPr>
        <w:tblW w:type="dxa" w:w="9000"/>
        <w:tblBorders>
          <w:top w:val="single" w:color="FFFFFF" w:sz="8"/>
          <w:left w:val="single" w:color="FFFFFF" w:sz="8"/>
          <w:bottom w:val="single" w:color="FFFFFF" w:sz="8"/>
          <w:right w:val="single" w:color="FFFFFF" w:sz="8"/>
          <w:insideH w:val="single" w:color="FFFFFF" w:sz="8"/>
          <w:insideV w:val="single" w:color="FFFFFF" w:sz="8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0F2A43" w:color="auto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7,282,234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2026 PVCs COLLECTED (TOTAL)</w:t>
            </w:r>
          </w:p>
        </w:tc>
        <w:tc>
          <w:tcPr>
            <w:tcW w:type="dxa" w:w="3000"/>
            <w:shd w:fill="1F6F94" w:color="auto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90.8%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2026 COLLECTION RATE</w:t>
            </w:r>
          </w:p>
        </w:tc>
        <w:tc>
          <w:tcPr>
            <w:tcW w:type="dxa" w:w="3000"/>
            <w:shd w:fill="C8102E" w:color="auto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Alimosho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HIGHEST-STRENGTH LGA</w:t>
            </w:r>
          </w:p>
        </w:tc>
      </w:tr>
      <w:tr>
        <w:tc>
          <w:tcPr>
            <w:tcW w:type="dxa" w:w="3000"/>
            <w:shd w:fill="3E5C74" w:color="auto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6,168,573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2022 PVCs COLLECTED (TOTAL)</w:t>
            </w:r>
          </w:p>
        </w:tc>
        <w:tc>
          <w:tcPr>
            <w:tcW w:type="dxa" w:w="3000"/>
            <w:shd w:fill="1F6F94" w:color="auto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+1,113,661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NET NEW PVCs 2022→2026</w:t>
            </w:r>
          </w:p>
        </w:tc>
        <w:tc>
          <w:tcPr>
            <w:tcW w:type="dxa" w:w="3000"/>
            <w:shd w:fill="8A1220" w:color="auto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1,068,711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HIGHEST LGA PVC COUNT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C8102E"/>
          <w:sz w:val="21"/>
          <w:szCs w:val="21"/>
        </w:rPr>
        <w:t xml:space="preserve">Note: </w:t>
      </w:r>
      <w:r>
        <w:rPr>
          <w:rFonts w:ascii="Calibri" w:cs="Calibri" w:eastAsia="Calibri" w:hAnsi="Calibri"/>
          <w:i/>
          <w:iCs/>
          <w:color w:val="5C6B7A"/>
          <w:sz w:val="21"/>
          <w:szCs w:val="21"/>
        </w:rPr>
        <w:t xml:space="preserve">every number in this document is sample/illustrative data used to demonstrate the platform. Real INEC register figures, PVC-collection returns and the official polling-unit geodatabase drop straight into the same structure without redesign.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2. The Problem &amp; the Opportunity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Campaigns and electoral stakeholders in Lagos routinely hold the raw ingredients of voter intelligence — the register, the PVC-collection returns and the polling-unit list — but hold them as disconnected spreadsheets. Three problems follow from that: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Numbers without geography.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PVC-collection figure for a ward means little until it sits on a map beside its neighbours and its trend since the last cycle.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single source of truth.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LGA, ward and polling-unit figures live in separate files at separate offices, so nobody can move cleanly from the state picture down to a single polling unit.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Reactive, not targeted, mobilisation.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Without a strength score per ward, field resources are spread evenly instead of aimed at the units with the largest un-collected or newly registered voter blocks.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F2A43"/>
          <w:sz w:val="21"/>
          <w:szCs w:val="21"/>
        </w:rPr>
        <w:t xml:space="preserve">The opportunity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to fuse these datasets once, in one geospatial system, and keep them current. PVC collection rate — PVCs collected as a share of registered voters — becomes a direct, comparable measure of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voting strength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electoral readiness at every level. Layered against the 2022 baseline, it becomes a measure of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momentum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That is the core of the Election Data Center.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3. Data Foundation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EDC is built on four data inputs, exactly as scoped for this initiative:</w:t>
      </w:r>
    </w:p>
    <w:tbl>
      <w:tblPr>
        <w:tblW w:type="dxa" w:w="9000"/>
        <w:tblBorders>
          <w:top w:val="single" w:color="FFFFFF" w:sz="2"/>
          <w:left w:val="none"/>
          <w:bottom w:val="single" w:color="FFFFFF" w:sz="2"/>
          <w:right w:val="none"/>
          <w:insideH w:val="single" w:color="FFFFFF" w:sz="2"/>
          <w:insideV w:val="single" w:color="FFFFFF" w:sz="2"/>
        </w:tblBorders>
      </w:tblPr>
      <w:tblGrid>
        <w:gridCol w:w="560"/>
        <w:gridCol w:w="3600"/>
        <w:gridCol w:w="1640"/>
        <w:gridCol w:w="3200"/>
      </w:tblGrid>
      <w:tr>
        <w:trPr>
          <w:tblHeader/>
        </w:trPr>
        <w:tc>
          <w:tcPr>
            <w:tcW w:type="dxa" w:w="56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input</w:t>
            </w:r>
          </w:p>
        </w:tc>
        <w:tc>
          <w:tcPr>
            <w:tcW w:type="dxa" w:w="164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in the platform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PVCs collected (2022) &amp; Registered Voters (2022)</w:t>
            </w:r>
          </w:p>
        </w:tc>
        <w:tc>
          <w:tcPr>
            <w:tcW w:type="dxa" w:w="164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LGA / Ward / PU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Baseline voting strength and collection rate</w:t>
            </w:r>
          </w:p>
        </w:tc>
      </w:tr>
      <w:tr>
        <w:tc>
          <w:tcPr>
            <w:tcW w:type="dxa" w:w="56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PVCs collected (2026) &amp; Registered Voters (2026)</w:t>
            </w:r>
          </w:p>
        </w:tc>
        <w:tc>
          <w:tcPr>
            <w:tcW w:type="dxa" w:w="164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LGA / Ward / PU</w:t>
            </w:r>
          </w:p>
        </w:tc>
        <w:tc>
          <w:tcPr>
            <w:tcW w:type="dxa" w:w="32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Current strength; growth &amp; momentum vs 2022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Polling-unit geospatial database (Lagos)</w:t>
            </w:r>
          </w:p>
        </w:tc>
        <w:tc>
          <w:tcPr>
            <w:tcW w:type="dxa" w:w="164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Point + boundary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Geometry that turns every figure into a map</w:t>
            </w:r>
          </w:p>
        </w:tc>
      </w:tr>
      <w:tr>
        <w:tc>
          <w:tcPr>
            <w:tcW w:type="dxa" w:w="56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 + data-mining unit</w:t>
            </w:r>
          </w:p>
        </w:tc>
        <w:tc>
          <w:tcPr>
            <w:tcW w:type="dxa" w:w="164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Platform</w:t>
            </w:r>
          </w:p>
        </w:tc>
        <w:tc>
          <w:tcPr>
            <w:tcW w:type="dxa" w:w="32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Delivery layer for maps, scores &amp; campaign targeting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Joining inputs 1–2 to input 3 is what enables mapping of voting strength at LGA, ward and polling-unit level. The join key is the polling-unit code, which rolls up cleanly into ward and then LGA, giving one consistent hierarchy from the state down to a single unit.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94"/>
          <w:sz w:val="25"/>
          <w:szCs w:val="25"/>
        </w:rPr>
        <w:t xml:space="preserve">3.1 Data model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single star schema keeps the hierarchy consistent: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Geography dimension: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State → LGA → Ward (Registration Area) → Polling Unit, each with its geometry (point and, where available, boundary polygon).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Voter facts: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registered voters and PVCs collected, per unit, per cycle (2022, 2026, and future cycles).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Derived measures: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collection rate (voting strength), un-collected PVC gap, cycle-on-cycle growth, and a composite campaign-priority score.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4. Analytics Engine &amp; Key Metrics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analytics engine computes a consistent set of measures at every level. The two headline campaign metrics you asked for — the highest number of PVCs collected and the total number of PVCs collected — fall out directly, and can be sliced by LGA, ward or polling unit.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94"/>
          <w:sz w:val="25"/>
          <w:szCs w:val="25"/>
        </w:rPr>
        <w:t xml:space="preserve">4.1 Core metrics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Total PVCs collected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the sum of PVCs collected across the selected area and cycle. Sample statewide 2026: </w:t>
      </w:r>
      <w:r>
        <w:rPr>
          <w:rFonts w:ascii="Calibri" w:cs="Calibri" w:eastAsia="Calibri" w:hAnsi="Calibri"/>
          <w:b/>
          <w:bCs/>
          <w:color w:val="0F2A43"/>
          <w:sz w:val="21"/>
          <w:szCs w:val="21"/>
        </w:rPr>
        <w:t xml:space="preserve">7,282,234 PVCs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(2022: 6,168,573).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Highest PVCs collected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the top-ranked unit at each level. Sample 2026: LGA </w:t>
      </w:r>
      <w:r>
        <w:rPr>
          <w:rFonts w:ascii="Calibri" w:cs="Calibri" w:eastAsia="Calibri" w:hAnsi="Calibri"/>
          <w:b/>
          <w:bCs/>
          <w:color w:val="0F2A43"/>
          <w:sz w:val="21"/>
          <w:szCs w:val="21"/>
        </w:rPr>
        <w:t xml:space="preserve">Alimosho (1,068,711)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 ward </w:t>
      </w:r>
      <w:r>
        <w:rPr>
          <w:rFonts w:ascii="Calibri" w:cs="Calibri" w:eastAsia="Calibri" w:hAnsi="Calibri"/>
          <w:b/>
          <w:bCs/>
          <w:color w:val="0F2A43"/>
          <w:sz w:val="21"/>
          <w:szCs w:val="21"/>
        </w:rPr>
        <w:t xml:space="preserve">Alimosho Ward 05 (87,634)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 polling unit OJO/03/001 (1,548).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Collection rate / voting strength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PVCs collected ÷ registered voters. Sample statewide: </w:t>
      </w:r>
      <w:r>
        <w:rPr>
          <w:rFonts w:ascii="Calibri" w:cs="Calibri" w:eastAsia="Calibri" w:hAnsi="Calibri"/>
          <w:b/>
          <w:bCs/>
          <w:color w:val="0F2A43"/>
          <w:sz w:val="21"/>
          <w:szCs w:val="21"/>
        </w:rPr>
        <w:t xml:space="preserve">90.8% (2026)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vs 87.4% (2022).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Un-collected PVC gap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registered voters minus PVCs collected; the direct mobilisation target.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Momentum (2022 → 2026)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net new PVCs and rate change per unit, flagging surging and declining areas.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94"/>
          <w:sz w:val="25"/>
          <w:szCs w:val="25"/>
        </w:rPr>
        <w:t xml:space="preserve">4.2 Sample statewide picture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C6B7A"/>
          <w:sz w:val="17"/>
          <w:szCs w:val="17"/>
        </w:rPr>
        <w:t xml:space="preserve">PVC collected by LGA (2022 vs 2026) and the top 15 wards by 2026 collection — sample data.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94"/>
          <w:sz w:val="25"/>
          <w:szCs w:val="25"/>
        </w:rPr>
        <w:t xml:space="preserve">4.3 Top LGAs by voting strength (sample)</w:t>
      </w:r>
    </w:p>
    <w:tbl>
      <w:tblPr>
        <w:tblW w:type="dxa" w:w="9000"/>
        <w:tblBorders>
          <w:top w:val="single" w:color="FFFFFF" w:sz="2"/>
          <w:left w:val="none"/>
          <w:bottom w:val="single" w:color="FFFFFF" w:sz="2"/>
          <w:right w:val="none"/>
          <w:insideH w:val="single" w:color="FFFFFF" w:sz="2"/>
          <w:insideV w:val="single" w:color="FFFFFF" w:sz="2"/>
        </w:tblBorders>
      </w:tblPr>
      <w:tblGrid>
        <w:gridCol w:w="2400"/>
        <w:gridCol w:w="1900"/>
        <w:gridCol w:w="2100"/>
        <w:gridCol w:w="1200"/>
        <w:gridCol w:w="1400"/>
      </w:tblGrid>
      <w:tr>
        <w:trPr>
          <w:tblHeader/>
        </w:trPr>
        <w:tc>
          <w:tcPr>
            <w:tcW w:type="dxa" w:w="24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LGA</w:t>
            </w:r>
          </w:p>
        </w:tc>
        <w:tc>
          <w:tcPr>
            <w:tcW w:type="dxa" w:w="19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Registered 2026</w:t>
            </w:r>
          </w:p>
        </w:tc>
        <w:tc>
          <w:tcPr>
            <w:tcW w:type="dxa" w:w="21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PVC collected 2026</w:t>
            </w:r>
          </w:p>
        </w:tc>
        <w:tc>
          <w:tcPr>
            <w:tcW w:type="dxa" w:w="12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4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new vs 2022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Alimosho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1,151,401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1,068,711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92.8%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+164,083</w:t>
            </w:r>
          </w:p>
        </w:tc>
      </w:tr>
      <w:tr>
        <w:tc>
          <w:tcPr>
            <w:tcW w:type="dxa" w:w="24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Ajeromi-Ifelodun</w:t>
            </w:r>
          </w:p>
        </w:tc>
        <w:tc>
          <w:tcPr>
            <w:tcW w:type="dxa" w:w="19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567,720</w:t>
            </w:r>
          </w:p>
        </w:tc>
        <w:tc>
          <w:tcPr>
            <w:tcW w:type="dxa" w:w="21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525,645</w:t>
            </w:r>
          </w:p>
        </w:tc>
        <w:tc>
          <w:tcPr>
            <w:tcW w:type="dxa" w:w="12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92.6%</w:t>
            </w:r>
          </w:p>
        </w:tc>
        <w:tc>
          <w:tcPr>
            <w:tcW w:type="dxa" w:w="14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+64,000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Kosofe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554,600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485,870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87.6%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+88,108</w:t>
            </w:r>
          </w:p>
        </w:tc>
      </w:tr>
      <w:tr>
        <w:tc>
          <w:tcPr>
            <w:tcW w:type="dxa" w:w="24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Ikorodu</w:t>
            </w:r>
          </w:p>
        </w:tc>
        <w:tc>
          <w:tcPr>
            <w:tcW w:type="dxa" w:w="19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533,362</w:t>
            </w:r>
          </w:p>
        </w:tc>
        <w:tc>
          <w:tcPr>
            <w:tcW w:type="dxa" w:w="21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479,760</w:t>
            </w:r>
          </w:p>
        </w:tc>
        <w:tc>
          <w:tcPr>
            <w:tcW w:type="dxa" w:w="12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90.0%</w:t>
            </w:r>
          </w:p>
        </w:tc>
        <w:tc>
          <w:tcPr>
            <w:tcW w:type="dxa" w:w="14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+86,318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Oshodi-Isolo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487,920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447,746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91.8%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+70,336</w:t>
            </w:r>
          </w:p>
        </w:tc>
      </w:tr>
      <w:tr>
        <w:tc>
          <w:tcPr>
            <w:tcW w:type="dxa" w:w="24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Ojo</w:t>
            </w:r>
          </w:p>
        </w:tc>
        <w:tc>
          <w:tcPr>
            <w:tcW w:type="dxa" w:w="19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461,700</w:t>
            </w:r>
          </w:p>
        </w:tc>
        <w:tc>
          <w:tcPr>
            <w:tcW w:type="dxa" w:w="21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423,657</w:t>
            </w:r>
          </w:p>
        </w:tc>
        <w:tc>
          <w:tcPr>
            <w:tcW w:type="dxa" w:w="12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91.8%</w:t>
            </w:r>
          </w:p>
        </w:tc>
        <w:tc>
          <w:tcPr>
            <w:tcW w:type="dxa" w:w="14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+60,452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Eti-Osa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438,960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401,432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91.5%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+77,412</w:t>
            </w:r>
          </w:p>
        </w:tc>
      </w:tr>
      <w:tr>
        <w:tc>
          <w:tcPr>
            <w:tcW w:type="dxa" w:w="24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Mushin</w:t>
            </w:r>
          </w:p>
        </w:tc>
        <w:tc>
          <w:tcPr>
            <w:tcW w:type="dxa" w:w="19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423,360</w:t>
            </w:r>
          </w:p>
        </w:tc>
        <w:tc>
          <w:tcPr>
            <w:tcW w:type="dxa" w:w="21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382,619</w:t>
            </w:r>
          </w:p>
        </w:tc>
        <w:tc>
          <w:tcPr>
            <w:tcW w:type="dxa" w:w="12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90.4%</w:t>
            </w:r>
          </w:p>
        </w:tc>
        <w:tc>
          <w:tcPr>
            <w:tcW w:type="dxa" w:w="14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+57,115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Agege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378,479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350,317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92.6%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+56,107</w:t>
            </w:r>
          </w:p>
        </w:tc>
      </w:tr>
      <w:tr>
        <w:tc>
          <w:tcPr>
            <w:tcW w:type="dxa" w:w="24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Ifako-Ijaiye</w:t>
            </w:r>
          </w:p>
        </w:tc>
        <w:tc>
          <w:tcPr>
            <w:tcW w:type="dxa" w:w="19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362,518</w:t>
            </w:r>
          </w:p>
        </w:tc>
        <w:tc>
          <w:tcPr>
            <w:tcW w:type="dxa" w:w="21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329,845</w:t>
            </w:r>
          </w:p>
        </w:tc>
        <w:tc>
          <w:tcPr>
            <w:tcW w:type="dxa" w:w="12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91.0%</w:t>
            </w:r>
          </w:p>
        </w:tc>
        <w:tc>
          <w:tcPr>
            <w:tcW w:type="dxa" w:w="14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+37,028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5. Geospatial Mapping Framework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metric is rendered on a map at the level the user selects. The framework is a classic drill-down: start at the state, click into an LGA, then a ward, then a polling unit — the figures re-aggregate at each step.</w:t>
      </w:r>
    </w:p>
    <w:tbl>
      <w:tblPr>
        <w:tblW w:type="dxa" w:w="9500"/>
        <w:tblBorders>
          <w:top w:val="single" w:color="FFFFFF" w:sz="2"/>
          <w:left w:val="none"/>
          <w:bottom w:val="single" w:color="FFFFFF" w:sz="2"/>
          <w:right w:val="none"/>
          <w:insideH w:val="single" w:color="FFFFFF" w:sz="2"/>
          <w:insideV w:val="single" w:color="FFFFFF" w:sz="2"/>
        </w:tblBorders>
      </w:tblPr>
      <w:tblGrid>
        <w:gridCol w:w="2000"/>
        <w:gridCol w:w="1500"/>
        <w:gridCol w:w="3000"/>
        <w:gridCol w:w="3000"/>
      </w:tblGrid>
      <w:tr>
        <w:trPr>
          <w:tblHeader/>
        </w:trPr>
        <w:tc>
          <w:tcPr>
            <w:tcW w:type="dxa" w:w="20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5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30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map</w:t>
            </w:r>
          </w:p>
        </w:tc>
        <w:tc>
          <w:tcPr>
            <w:tcW w:type="dxa" w:w="30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Campaign use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State → LGA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 LGAs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Choropleth / graduated bubbles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Where the big blocks and gaps are</w:t>
            </w:r>
          </w:p>
        </w:tc>
      </w:tr>
      <w:tr>
        <w:tc>
          <w:tcPr>
            <w:tcW w:type="dxa" w:w="20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LGA → Ward</w:t>
            </w:r>
          </w:p>
        </w:tc>
        <w:tc>
          <w:tcPr>
            <w:tcW w:type="dxa" w:w="15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245 wards</w:t>
            </w:r>
          </w:p>
        </w:tc>
        <w:tc>
          <w:tcPr>
            <w:tcW w:type="dxa" w:w="30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Ward tiles by voting strength</w:t>
            </w:r>
          </w:p>
        </w:tc>
        <w:tc>
          <w:tcPr>
            <w:tcW w:type="dxa" w:w="30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Assign field teams; set priorities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Ward → Polling Unit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13,325 PUs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Point map / heat map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Micro-targeting &amp; agent deployment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C6B7A"/>
          <w:sz w:val="17"/>
          <w:szCs w:val="17"/>
        </w:rPr>
        <w:t xml:space="preserve">Statewide voting-strength map — bubble size = PVCs collected, colour = collection rate (sample data).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Colour encodes voting strength (collection rate) on a single sequential ramp, so light-to-dark reads consistently at every level. Size, where used, encodes the absolute PVC count — separating "how strong" from "how big", the two questions a campaign always asks together.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6. Ward Campaign Maps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platform generates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campaign map for every ward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 Lagos. Each ward is rendered as a card carrying its PVC count, collection rate, polling-unit count and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campaign-priority tag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derived from its strength relative to the state: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C8102E"/>
          <w:sz w:val="21"/>
          <w:szCs w:val="21"/>
        </w:rPr>
        <w:t xml:space="preserve">HIGH priority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low collection / large un-collected block: the biggest mobilisation upside.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C77A15"/>
          <w:sz w:val="21"/>
          <w:szCs w:val="21"/>
        </w:rPr>
        <w:t xml:space="preserve">MEDIUM priority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mid-range strength; hold and consolidate.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E8B57"/>
          <w:sz w:val="21"/>
          <w:szCs w:val="21"/>
        </w:rPr>
        <w:t xml:space="preserve">WATCH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already strong; protect turnout, guard against complacency.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These are compiled into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Ward Campaign Map Pack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one page per LGA, every one of the 245 wards tiled and colour-coded — delivered alongside this proposal as a companion PDF. It is regenerated automatically each time new PVC returns are loaded, so field teams always work from the current picture.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C6B7A"/>
          <w:sz w:val="21"/>
          <w:szCs w:val="21"/>
        </w:rPr>
        <w:t xml:space="preserve">The accompanying pack, </w:t>
      </w:r>
      <w:r>
        <w:rPr>
          <w:rFonts w:ascii="Calibri" w:cs="Calibri" w:eastAsia="Calibri" w:hAnsi="Calibri"/>
          <w:b/>
          <w:bCs/>
          <w:i/>
          <w:iCs/>
          <w:color w:val="0F2A43"/>
          <w:sz w:val="21"/>
          <w:szCs w:val="21"/>
        </w:rPr>
        <w:t xml:space="preserve">Ward_Campaign_Map_Pack.pdf</w:t>
      </w:r>
      <w:r>
        <w:rPr>
          <w:rFonts w:ascii="Calibri" w:cs="Calibri" w:eastAsia="Calibri" w:hAnsi="Calibri"/>
          <w:i/>
          <w:iCs/>
          <w:color w:val="5C6B7A"/>
          <w:sz w:val="21"/>
          <w:szCs w:val="21"/>
        </w:rPr>
        <w:t xml:space="preserve">, contains the full set of ward campaign maps for all 20 LGAs.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7. Application &amp; System Architecture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EDC is delivered as a web application over a geospatial database, so any authorised user can move from the state map to a single polling unit in a few clicks, on desktop or in the field.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94"/>
          <w:sz w:val="25"/>
          <w:szCs w:val="25"/>
        </w:rPr>
        <w:t xml:space="preserve">7.1 Layers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layer: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PostgreSQL + PostGIS holding the geography hierarchy and voter facts; INEC register, PVC returns and the polling-unit geodatabase load through a validated ETL pipeline.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Analytics layer: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scheduled jobs compute collection rate, gaps, momentum and the priority score, and materialise them per level for fast maps.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Map &amp; API layer: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tile/feature service (e.g. GeoServer / Mapbox GL) serves LGA, ward and PU layers to the front end.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Application layer: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an interactive dashboard — drill-down maps, KPI tiles (total &amp; highest PVC), 2022-vs-2026 toggle, filters and one-click export of ward map packs and target lists.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Data-mining / campaign layer: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targeting workspace described in Section 8.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94"/>
          <w:sz w:val="25"/>
          <w:szCs w:val="25"/>
        </w:rPr>
        <w:t xml:space="preserve">7.2 Access &amp; roles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Role-based access separates a read-only strategist view from an analyst/editor view and an administrator. All access is logged, and datasets are versioned by cycle so results are always reproducible and auditable.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8. Data-Mining Unit for Campaigns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Sitting on top of the analytics engine, the data-mining unit converts the maps into action for a campaign. It is the operational arm of the EDC.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Priority scoring: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ranks all 245 wards (and every polling unit) by mobilisation upside, combining un-collected PVC gap, registration growth and turnout history.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lists: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exports the top-N wards or polling units per LGA, with counts and contacts, straight to field coordinators.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Segmentation: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clusters wards by profile — high-growth, low-collection, swing, stronghold — so messaging and resourcing match the terrain.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Scenario &amp; tracking: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models "what if collection rises X points in these wards", then tracks actual PVC returns against the plan cycle to cycle.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Alerts: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flags wards where collection stalls or a large registered block remains un-carded, so effort is redirected in-cycle.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Because the unit reads from the same single source of truth as the maps, the target list a coordinator receives and the map a strategist sees are always the same numbers — no reconciliation, no stale spreadsheets.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9. Implementation Roadmap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Delivery is phased so a usable product appears early and capability compounds.</w:t>
      </w:r>
    </w:p>
    <w:tbl>
      <w:tblPr>
        <w:tblW w:type="dxa" w:w="8600"/>
        <w:tblBorders>
          <w:top w:val="single" w:color="FFFFFF" w:sz="2"/>
          <w:left w:val="none"/>
          <w:bottom w:val="single" w:color="FFFFFF" w:sz="2"/>
          <w:right w:val="none"/>
          <w:insideH w:val="single" w:color="FFFFFF" w:sz="2"/>
          <w:insideV w:val="single" w:color="FFFFFF" w:sz="2"/>
        </w:tblBorders>
      </w:tblPr>
      <w:tblGrid>
        <w:gridCol w:w="700"/>
        <w:gridCol w:w="1900"/>
        <w:gridCol w:w="4100"/>
        <w:gridCol w:w="1900"/>
      </w:tblGrid>
      <w:tr>
        <w:trPr>
          <w:tblHeader/>
        </w:trPr>
        <w:tc>
          <w:tcPr>
            <w:tcW w:type="dxa" w:w="7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9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1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900"/>
            <w:shd w:fill="0F2A4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Indicative timeline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Data foundation</w:t>
            </w:r>
          </w:p>
        </w:tc>
        <w:tc>
          <w:tcPr>
            <w:tcW w:type="dxa" w:w="4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ETL for register, PVC returns &amp; polling-unit geodatabase; PostGIS schema; data validation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1–4</w:t>
            </w:r>
          </w:p>
        </w:tc>
      </w:tr>
      <w:tr>
        <w:tc>
          <w:tcPr>
            <w:tcW w:type="dxa" w:w="7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Analytics &amp; maps</w:t>
            </w:r>
          </w:p>
        </w:tc>
        <w:tc>
          <w:tcPr>
            <w:tcW w:type="dxa" w:w="41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Collection-rate &amp; gap metrics; LGA/ward/PU maps; total &amp; highest PVC KPIs</w:t>
            </w:r>
          </w:p>
        </w:tc>
        <w:tc>
          <w:tcPr>
            <w:tcW w:type="dxa" w:w="19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4–8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4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Interactive drill-down dashboard; 2022-vs-2026 comparison; ward map-pack export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8–14</w:t>
            </w:r>
          </w:p>
        </w:tc>
      </w:tr>
      <w:tr>
        <w:tc>
          <w:tcPr>
            <w:tcW w:type="dxa" w:w="7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Data-mining unit</w:t>
            </w:r>
          </w:p>
        </w:tc>
        <w:tc>
          <w:tcPr>
            <w:tcW w:type="dxa" w:w="41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Priority scoring, target lists, segmentation, alerts</w:t>
            </w:r>
          </w:p>
        </w:tc>
        <w:tc>
          <w:tcPr>
            <w:tcW w:type="dxa" w:w="1900"/>
            <w:shd w:fill="EE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12–18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3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Rollout &amp; training</w:t>
            </w:r>
          </w:p>
        </w:tc>
        <w:tc>
          <w:tcPr>
            <w:tcW w:type="dxa" w:w="4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Role-based access, field-team onboarding, live-cycle support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16–20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Phases overlap by design: the maps from Phase 2 are usable while the full application in Phase 3 is still being built, so decision-makers get value from the data well before the platform is feature-complete.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10. Governance, Data Integrity &amp; Ethics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Source of truth: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only official INEC register, PVC-collection returns and the recognised polling-unit geodatabase are loaded; every dataset is dated and versioned by cycle.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Aggregation, not surveillance: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platform works with counts and rates at unit level, not personal voter records — it measures collection and strength, it does not profile individuals.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Security: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encrypted storage, role-based access and full audit logging of who viewed or exported what.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Transparency &amp; reproducibility: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 figure traces back to a loaded, dated source, so any map or ranking can be reproduced and defended.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Lawful, ethical use: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EDC supports legitimate voter mobilisation and electoral planning in line with electoral law and data-protection norms.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2A43"/>
          <w:sz w:val="30"/>
          <w:szCs w:val="30"/>
        </w:rPr>
        <w:t xml:space="preserve">11. Next Steps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Confirm data access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obtain the 2022 &amp; 2026 register and PVC-collection returns and the Lagos polling-unit geodatabase.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Load &amp; validate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run the real data through the schema to replace the sample figures in this document.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 up the pilot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deliver the statewide map, ward map pack and KPI dashboard for one senatorial district first.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Scope the data-mining unit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— agree the priority-score weighting and target-list formats with the campaign team.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 approval, work begins with Phase 1. The sample maps and figures in this document — and the companion ward map pack — show exactly what the finished platform produces the moment real data is loaded.</w:t>
      </w:r>
    </w:p>
    <w:p>
      <w:pPr>
        <w:pBdr>
          <w:top w:val="single" w:color="DCE7EE" w:sz="6" w:space="8"/>
        </w:pBdr>
        <w:spacing w:before="260"/>
      </w:pPr>
      <w:r>
        <w:rPr>
          <w:rFonts w:ascii="Calibri" w:cs="Calibri" w:eastAsia="Calibri" w:hAnsi="Calibri"/>
          <w:i/>
          <w:iCs/>
          <w:color w:val="5C6B7A"/>
          <w:sz w:val="16"/>
          <w:szCs w:val="16"/>
        </w:rPr>
        <w:t xml:space="preserve">Geoinfotech — GIS Team · Election Data Center concept proposal · All figures sample/illustrative pending real INEC &amp; geodatabase load.</w:t>
      </w:r>
    </w:p>
    <w:sectPr>
      <w:headerReference w:type="default" r:id="rId7"/>
      <w:footerReference w:type="default" r:id="rId8"/>
      <w:pgSz w:w="12240" w:h="15840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7EE" w:sz="4" w:space="6"/>
      </w:pBdr>
      <w:jc w:val="center"/>
    </w:pPr>
    <w:r>
      <w:rPr>
        <w:rFonts w:ascii="Calibri" w:cs="Calibri" w:eastAsia="Calibri" w:hAnsi="Calibri"/>
        <w:color w:val="5C6B7A"/>
        <w:sz w:val="15"/>
        <w:szCs w:val="15"/>
      </w:rPr>
      <w:t xml:space="preserve">Geoinfotech · GIS Team    |    </w:t>
    </w:r>
    <w:r>
      <w:rPr>
        <w:rFonts w:ascii="Calibri" w:cs="Calibri" w:eastAsia="Calibri" w:hAnsi="Calibri"/>
        <w:color w:val="5C6B7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7EE" w:sz="4" w:space="6"/>
      </w:pBdr>
      <w:jc w:val="right"/>
    </w:pPr>
    <w:r>
      <w:rPr>
        <w:rFonts w:ascii="Calibri" w:cs="Calibri" w:eastAsia="Calibri" w:hAnsi="Calibri"/>
        <w:color w:val="5C6B7A"/>
        <w:spacing w:val="20"/>
        <w:sz w:val="15"/>
        <w:szCs w:val="15"/>
      </w:rPr>
      <w:t xml:space="preserve">ELECTION DATA CENTER  ·  Concept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6F94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  <w:rPr>
        <w:b/>
        <w:bCs/>
        <w:color w:val="0F2A4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fbd26cfb4f6c5c961f2858f17e8ec581fe52717.png"/><Relationship Id="rId10" Type="http://schemas.openxmlformats.org/officeDocument/2006/relationships/image" Target="media/b993750be38e41381fd62196e765cee8b9ef6a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Election Data Center — Concept Proposal</dc:title>
  <dc:creator>Geoinfotech GIS Team</dc:creator>
  <cp:lastModifiedBy>Un-named</cp:lastModifiedBy>
  <cp:revision>1</cp:revision>
  <dcterms:created xsi:type="dcterms:W3CDTF">2026-08-17T08:58:41.016Z</dcterms:created>
  <dcterms:modified xsi:type="dcterms:W3CDTF">2026-08-17T08:58:41.018Z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