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3864"/>
          <w:sz w:val="40"/>
          <w:szCs w:val="40"/>
        </w:rPr>
        <w:t xml:space="preserve">NIGERIA FLOOD PREDICTION AND</w:t>
      </w:r>
    </w:p>
    <w:p>
      <w:pPr>
        <w:spacing w:after="320"/>
        <w:jc w:val="center"/>
      </w:pPr>
      <w:r>
        <w:rPr>
          <w:rFonts w:ascii="Calibri" w:cs="Calibri" w:eastAsia="Calibri" w:hAnsi="Calibri"/>
          <w:b/>
          <w:bCs/>
          <w:color w:val="1F3864"/>
          <w:sz w:val="40"/>
          <w:szCs w:val="40"/>
        </w:rPr>
        <w:t xml:space="preserve">MONITORING SYSTEM</w:t>
      </w:r>
    </w:p>
    <w:p>
      <w:pPr>
        <w:pBdr>
          <w:bottom w:val="single" w:color="B45309" w:sz="10" w:space="8"/>
        </w:pBdr>
        <w:spacing w:after="40"/>
        <w:jc w:val="center"/>
      </w:pPr>
      <w:r>
        <w:rPr>
          <w:sz w:val="4"/>
          <w:szCs w:val="4"/>
        </w:rPr>
        <w:t xml:space="preserve">  </w:t>
      </w:r>
    </w:p>
    <w:p>
      <w:pPr>
        <w:spacing w:after="800" w:before="260"/>
        <w:jc w:val="center"/>
      </w:pPr>
      <w:r>
        <w:rPr>
          <w:rFonts w:ascii="Calibri" w:cs="Calibri" w:eastAsia="Calibri" w:hAnsi="Calibri"/>
          <w:i/>
          <w:iCs/>
          <w:color w:val="595959"/>
          <w:sz w:val="26"/>
          <w:szCs w:val="26"/>
        </w:rPr>
        <w:t xml:space="preserve">Executive Overview &amp; Strategic Roadmap</w:t>
      </w:r>
    </w:p>
    <w:p>
      <w:pPr>
        <w:spacing w:after="60"/>
        <w:jc w:val="center"/>
      </w:pPr>
      <w:r>
        <w:rPr>
          <w:rFonts w:ascii="Calibri" w:cs="Calibri" w:eastAsia="Calibri" w:hAnsi="Calibri"/>
          <w:color w:val="262626"/>
          <w:sz w:val="22"/>
          <w:szCs w:val="22"/>
        </w:rPr>
        <w:t xml:space="preserve">Prepared for: Management</w:t>
      </w:r>
    </w:p>
    <w:p>
      <w:pPr>
        <w:spacing w:after="60"/>
        <w:jc w:val="center"/>
      </w:pPr>
      <w:r>
        <w:rPr>
          <w:rFonts w:ascii="Calibri" w:cs="Calibri" w:eastAsia="Calibri" w:hAnsi="Calibri"/>
          <w:color w:val="262626"/>
          <w:sz w:val="22"/>
          <w:szCs w:val="22"/>
        </w:rPr>
        <w:t xml:space="preserve">Prepared by: Ebenezer</w:t>
      </w:r>
    </w:p>
    <w:p>
      <w:pPr>
        <w:spacing w:after="1400"/>
        <w:jc w:val="center"/>
      </w:pPr>
      <w:r>
        <w:rPr>
          <w:rFonts w:ascii="Calibri" w:cs="Calibri" w:eastAsia="Calibri" w:hAnsi="Calibri"/>
          <w:color w:val="262626"/>
          <w:sz w:val="22"/>
          <w:szCs w:val="22"/>
        </w:rPr>
        <w:t xml:space="preserve">Date: 13 July 2026</w:t>
      </w:r>
    </w:p>
    <w:p>
      <w:pPr>
        <w:spacing w:after="60"/>
        <w:jc w:val="center"/>
      </w:pPr>
      <w:r>
        <w:rPr>
          <w:rFonts w:ascii="Calibri" w:cs="Calibri" w:eastAsia="Calibri" w:hAnsi="Calibri"/>
          <w:i/>
          <w:iCs/>
          <w:color w:val="595959"/>
          <w:sz w:val="20"/>
          <w:szCs w:val="20"/>
        </w:rPr>
        <w:t xml:space="preserve">A real-time, satellite- and machine-learning-powered flood early-warning platform for Nigeria.</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27"/>
          <w:szCs w:val="27"/>
        </w:rPr>
        <w:t xml:space="preserve">1. Executive Summary</w:t>
      </w:r>
    </w:p>
    <w:p>
      <w:pPr>
        <w:spacing w:after="160" w:line="276"/>
      </w:pPr>
      <w:r>
        <w:rPr>
          <w:rFonts w:ascii="Calibri" w:cs="Calibri" w:eastAsia="Calibri" w:hAnsi="Calibri"/>
          <w:color w:val="262626"/>
          <w:sz w:val="21"/>
          <w:szCs w:val="21"/>
        </w:rPr>
        <w:t xml:space="preserve">Flooding is one of Nigeria's most costly and recurring disasters, affecting millions of people, farmland, roads and bridges across the Niger, Benue and other river basins every wet season. Response today is largely reactive: flood risk information is fragmented across agencies, physical river sensors are scarce, and communities often learn about a flood only after it has already reached them.</w:t>
      </w:r>
    </w:p>
    <w:p>
      <w:pPr>
        <w:spacing w:after="160" w:line="276"/>
      </w:pPr>
      <w:r>
        <w:rPr>
          <w:rFonts w:ascii="Calibri" w:cs="Calibri" w:eastAsia="Calibri" w:hAnsi="Calibri"/>
          <w:color w:val="262626"/>
          <w:sz w:val="21"/>
          <w:szCs w:val="21"/>
        </w:rPr>
        <w:t xml:space="preserve">The Nigeria Flood Prediction and Monitoring System addresses this gap. It combines live river-gauge and rainfall data, satellite-derived flood layers, and machine-learning forecasts into a single map-based dashboard that shows not just “where is it raining” but “which specific towns, roads and bridges are about to be affected, and by how much.” The current build is functionally complete in local development, with a real data pipeline already running on 26 gauge stations and 29 meteorological stations nationwide.</w:t>
      </w:r>
    </w:p>
    <w:p>
      <w:pPr>
        <w:spacing w:after="160" w:line="276"/>
      </w:pPr>
      <w:r>
        <w:rPr>
          <w:rFonts w:ascii="Calibri" w:cs="Calibri" w:eastAsia="Calibri" w:hAnsi="Calibri"/>
          <w:color w:val="262626"/>
          <w:sz w:val="21"/>
          <w:szCs w:val="21"/>
        </w:rPr>
        <w:t xml:space="preserve">This document summarises what the system already answers today, what it will answer once two planned additions — a community flood-reporting module and a building exposure layer — are built, and the roadmap toward a public subscription alerting product. It is written for Management to evaluate the system's readiness, value, and the resourcing needed for its next phase.</w:t>
      </w:r>
    </w:p>
    <w:p>
      <w:pPr>
        <w:pStyle w:val="Heading1"/>
        <w:pBdr>
          <w:bottom w:val="single" w:color="1F3864" w:sz="6" w:space="4"/>
        </w:pBdr>
        <w:spacing w:after="160" w:before="360"/>
      </w:pPr>
      <w:r>
        <w:rPr>
          <w:rFonts w:ascii="Calibri" w:cs="Calibri" w:eastAsia="Calibri" w:hAnsi="Calibri"/>
          <w:b/>
          <w:bCs/>
          <w:color w:val="1F3864"/>
          <w:sz w:val="27"/>
          <w:szCs w:val="27"/>
        </w:rPr>
        <w:t xml:space="preserve">2. The Problem</w:t>
      </w:r>
    </w:p>
    <w:p>
      <w:pPr>
        <w:pStyle w:val="ListParagraph"/>
        <w:numPr>
          <w:ilvl w:val="0"/>
          <w:numId w:val="2"/>
        </w:numPr>
        <w:spacing w:after="90" w:line="264"/>
      </w:pPr>
      <w:r>
        <w:rPr>
          <w:rFonts w:ascii="Calibri" w:cs="Calibri" w:eastAsia="Calibri" w:hAnsi="Calibri"/>
          <w:color w:val="262626"/>
          <w:sz w:val="21"/>
          <w:szCs w:val="21"/>
        </w:rPr>
        <w:t xml:space="preserve">Nigeria has very limited in-situ river and rainfall sensor coverage. The agencies that do operate physical gauges — NIHSA and NiMet — do not currently expose their data through public APIs, so most flood monitoring today relies on manual reporting after the fact.</w:t>
      </w:r>
    </w:p>
    <w:p>
      <w:pPr>
        <w:pStyle w:val="ListParagraph"/>
        <w:numPr>
          <w:ilvl w:val="0"/>
          <w:numId w:val="2"/>
        </w:numPr>
        <w:spacing w:after="90" w:line="264"/>
      </w:pPr>
      <w:r>
        <w:rPr>
          <w:rFonts w:ascii="Calibri" w:cs="Calibri" w:eastAsia="Calibri" w:hAnsi="Calibri"/>
          <w:color w:val="262626"/>
          <w:sz w:val="21"/>
          <w:szCs w:val="21"/>
        </w:rPr>
        <w:t xml:space="preserve">Flood information that does exist is fragmented: river levels, rainfall, and satellite imagery typically sit in separate systems, forcing decision-makers to piece together a picture under time pressure during an active event.</w:t>
      </w:r>
    </w:p>
    <w:p>
      <w:pPr>
        <w:pStyle w:val="ListParagraph"/>
        <w:numPr>
          <w:ilvl w:val="0"/>
          <w:numId w:val="2"/>
        </w:numPr>
        <w:spacing w:after="90" w:line="264"/>
      </w:pPr>
      <w:r>
        <w:rPr>
          <w:rFonts w:ascii="Calibri" w:cs="Calibri" w:eastAsia="Calibri" w:hAnsi="Calibri"/>
          <w:color w:val="262626"/>
          <w:sz w:val="21"/>
          <w:szCs w:val="21"/>
        </w:rPr>
        <w:t xml:space="preserve">Existing bulletins are usually issued at state level, which is too coarse to tell a resident, a logistics planner or a responder which specific street, bridge or settlement is actually at risk.</w:t>
      </w:r>
    </w:p>
    <w:p>
      <w:pPr>
        <w:pStyle w:val="ListParagraph"/>
        <w:numPr>
          <w:ilvl w:val="0"/>
          <w:numId w:val="2"/>
        </w:numPr>
        <w:spacing w:after="90" w:line="264"/>
      </w:pPr>
      <w:r>
        <w:rPr>
          <w:rFonts w:ascii="Calibri" w:cs="Calibri" w:eastAsia="Calibri" w:hAnsi="Calibri"/>
          <w:color w:val="262626"/>
          <w:sz w:val="21"/>
          <w:szCs w:val="21"/>
        </w:rPr>
        <w:t xml:space="preserve">There is no low-cost, scalable way today to capture ground-truth flood observations from the communities who see flooding first — before it shows up in satellite passes or model outputs.</w:t>
      </w:r>
    </w:p>
    <w:p>
      <w:pPr>
        <w:pStyle w:val="Heading1"/>
        <w:pBdr>
          <w:bottom w:val="single" w:color="1F3864" w:sz="6" w:space="4"/>
        </w:pBdr>
        <w:spacing w:after="160" w:before="360"/>
      </w:pPr>
      <w:r>
        <w:rPr>
          <w:rFonts w:ascii="Calibri" w:cs="Calibri" w:eastAsia="Calibri" w:hAnsi="Calibri"/>
          <w:b/>
          <w:bCs/>
          <w:color w:val="1F3864"/>
          <w:sz w:val="27"/>
          <w:szCs w:val="27"/>
        </w:rPr>
        <w:t xml:space="preserve">3. What the System Is</w:t>
      </w:r>
    </w:p>
    <w:p>
      <w:pPr>
        <w:spacing w:after="160" w:line="276"/>
      </w:pPr>
      <w:r>
        <w:rPr>
          <w:rFonts w:ascii="Calibri" w:cs="Calibri" w:eastAsia="Calibri" w:hAnsi="Calibri"/>
          <w:color w:val="262626"/>
          <w:sz w:val="21"/>
          <w:szCs w:val="21"/>
        </w:rPr>
        <w:t xml:space="preserve">The platform is a full-stack flood intelligence system built around four layers of information that are fused into one interactive map:</w:t>
      </w:r>
    </w:p>
    <w:p>
      <w:pPr>
        <w:pStyle w:val="ListParagraph"/>
        <w:numPr>
          <w:ilvl w:val="0"/>
          <w:numId w:val="2"/>
        </w:numPr>
        <w:spacing w:after="90" w:line="264"/>
      </w:pPr>
      <w:r>
        <w:rPr>
          <w:rFonts w:ascii="Calibri" w:cs="Calibri" w:eastAsia="Calibri" w:hAnsi="Calibri"/>
          <w:b/>
          <w:bCs/>
          <w:color w:val="262626"/>
          <w:sz w:val="21"/>
          <w:szCs w:val="21"/>
        </w:rPr>
        <w:t xml:space="preserve">Live hydrological &amp; weather data — </w:t>
      </w:r>
      <w:r>
        <w:rPr>
          <w:rFonts w:ascii="Calibri" w:cs="Calibri" w:eastAsia="Calibri" w:hAnsi="Calibri"/>
          <w:color w:val="262626"/>
          <w:sz w:val="21"/>
          <w:szCs w:val="21"/>
        </w:rPr>
        <w:t xml:space="preserve">26 river gauge stations and 29 meteorological stations across Nigeria's major basins, refreshed every 5–15 minutes.</w:t>
      </w:r>
    </w:p>
    <w:p>
      <w:pPr>
        <w:pStyle w:val="ListParagraph"/>
        <w:numPr>
          <w:ilvl w:val="0"/>
          <w:numId w:val="2"/>
        </w:numPr>
        <w:spacing w:after="90" w:line="264"/>
      </w:pPr>
      <w:r>
        <w:rPr>
          <w:rFonts w:ascii="Calibri" w:cs="Calibri" w:eastAsia="Calibri" w:hAnsi="Calibri"/>
          <w:b/>
          <w:bCs/>
          <w:color w:val="262626"/>
          <w:sz w:val="21"/>
          <w:szCs w:val="21"/>
        </w:rPr>
        <w:t xml:space="preserve">Machine-learning forecasts — </w:t>
      </w:r>
      <w:r>
        <w:rPr>
          <w:rFonts w:ascii="Calibri" w:cs="Calibri" w:eastAsia="Calibri" w:hAnsi="Calibri"/>
          <w:color w:val="262626"/>
          <w:sz w:val="21"/>
          <w:szCs w:val="21"/>
        </w:rPr>
        <w:t xml:space="preserve">flood probability at 6, 12, 24, 48 and 72-hour horizons, using an XGBoost + LSTM ensemble trained on over 57,000 historical feature rows.</w:t>
      </w:r>
    </w:p>
    <w:p>
      <w:pPr>
        <w:pStyle w:val="ListParagraph"/>
        <w:numPr>
          <w:ilvl w:val="0"/>
          <w:numId w:val="2"/>
        </w:numPr>
        <w:spacing w:after="90" w:line="264"/>
      </w:pPr>
      <w:r>
        <w:rPr>
          <w:rFonts w:ascii="Calibri" w:cs="Calibri" w:eastAsia="Calibri" w:hAnsi="Calibri"/>
          <w:b/>
          <w:bCs/>
          <w:color w:val="262626"/>
          <w:sz w:val="21"/>
          <w:szCs w:val="21"/>
        </w:rPr>
        <w:t xml:space="preserve">Satellite risk layers — </w:t>
      </w:r>
      <w:r>
        <w:rPr>
          <w:rFonts w:ascii="Calibri" w:cs="Calibri" w:eastAsia="Calibri" w:hAnsi="Calibri"/>
          <w:color w:val="262626"/>
          <w:sz w:val="21"/>
          <w:szCs w:val="21"/>
        </w:rPr>
        <w:t xml:space="preserve">a flood-susceptibility composite (historical surface water + terrain) and Sentinel-1 radar imagery that detects actual flood water on the ground, independent of cloud cover.</w:t>
      </w:r>
    </w:p>
    <w:p>
      <w:pPr>
        <w:pStyle w:val="ListParagraph"/>
        <w:numPr>
          <w:ilvl w:val="0"/>
          <w:numId w:val="2"/>
        </w:numPr>
        <w:spacing w:after="90" w:line="264"/>
      </w:pPr>
      <w:r>
        <w:rPr>
          <w:rFonts w:ascii="Calibri" w:cs="Calibri" w:eastAsia="Calibri" w:hAnsi="Calibri"/>
          <w:b/>
          <w:bCs/>
          <w:color w:val="262626"/>
          <w:sz w:val="21"/>
          <w:szCs w:val="21"/>
        </w:rPr>
        <w:t xml:space="preserve">Exposure analysis — </w:t>
      </w:r>
      <w:r>
        <w:rPr>
          <w:rFonts w:ascii="Calibri" w:cs="Calibri" w:eastAsia="Calibri" w:hAnsi="Calibri"/>
          <w:color w:val="262626"/>
          <w:sz w:val="21"/>
          <w:szCs w:val="21"/>
        </w:rPr>
        <w:t xml:space="preserve">42,440 mapped roads, 11,066 bridges and 16,968 settlements nationwide, automatically cross-referenced against active risk zones to answer “who and what is actually in harm's way,” not just “where is the risk.”</w:t>
      </w:r>
    </w:p>
    <w:p>
      <w:pPr>
        <w:spacing w:after="160" w:line="276"/>
      </w:pPr>
      <w:r>
        <w:rPr>
          <w:rFonts w:ascii="Calibri" w:cs="Calibri" w:eastAsia="Calibri" w:hAnsi="Calibri"/>
          <w:color w:val="262626"/>
          <w:sz w:val="21"/>
          <w:szCs w:val="21"/>
        </w:rPr>
        <w:t xml:space="preserve">All of this is exposed through a live map dashboard, a REST/WebSocket API, and an alert log — built on a technology stack (FastAPI, TimescaleDB/PostGIS, React/MapLibre, BentoML, Google Earth Engine) chosen specifically to scale to a cloud production deployment without a redesign.</w:t>
      </w:r>
    </w:p>
    <w:p>
      <w:pPr>
        <w:pStyle w:val="Heading1"/>
        <w:pBdr>
          <w:bottom w:val="single" w:color="1F3864" w:sz="6" w:space="4"/>
        </w:pBdr>
        <w:spacing w:after="160" w:before="360"/>
      </w:pPr>
      <w:r>
        <w:rPr>
          <w:rFonts w:ascii="Calibri" w:cs="Calibri" w:eastAsia="Calibri" w:hAnsi="Calibri"/>
          <w:b/>
          <w:bCs/>
          <w:color w:val="1F3864"/>
          <w:sz w:val="27"/>
          <w:szCs w:val="27"/>
        </w:rPr>
        <w:t xml:space="preserve">4. Key Questions the System Is Designed to Answer</w:t>
      </w:r>
    </w:p>
    <w:p>
      <w:pPr>
        <w:spacing w:after="160" w:line="276"/>
      </w:pPr>
      <w:r>
        <w:rPr>
          <w:rFonts w:ascii="Calibri" w:cs="Calibri" w:eastAsia="Calibri" w:hAnsi="Calibri"/>
          <w:color w:val="262626"/>
          <w:sz w:val="21"/>
          <w:szCs w:val="21"/>
        </w:rPr>
        <w:t xml:space="preserve">The table below maps the core operational questions Management and field users will ask during a flood event to the specific mechanism in the system that answers them today, and flags the handful of extensions still to be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1350"/>
      </w:tblGrid>
      <w:tr>
        <w:trPr>
          <w:tblHeader/>
        </w:trPr>
        <w:tc>
          <w:tcPr>
            <w:tcW w:type="dxa" w:w="360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Question</w:t>
            </w:r>
          </w:p>
        </w:tc>
        <w:tc>
          <w:tcPr>
            <w:tcW w:type="dxa" w:w="440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How the System Answers It</w:t>
            </w:r>
          </w:p>
        </w:tc>
        <w:tc>
          <w:tcPr>
            <w:tcW w:type="dxa" w:w="135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Status</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source of the flood — river overflow, rainfall, or both?</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Combines live gauge trends (level_change_1h / 3h) with rolling rainfall totals (3h / 24h) per station to separate river-driven and rainfall-driven signals.</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physical extent of a flood?</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Sentinel-1 satellite radar (SAR) change detection maps actual flood-water extent; a JRC + SRTM composite shows terrain that is structurally susceptible even before an event.</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How many places are likely to be affected before an event happens?</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The impact-analysis engine intersects forecast risk zones (Watch / Warning / Emergency) with 16,968 mapped settlements nationwide, naming and ranking exposed towns and cities by population.</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How many places were affected after an event occurred?</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The same intersection engine can be pointed at the observed satellite flood-extent layer instead of the forecast zone, producing a post-event affected-places count. The underlying method already exists — this is a configuration extension, not new architecture.</w:t>
            </w:r>
          </w:p>
        </w:tc>
        <w:tc>
          <w:tcPr>
            <w:tcW w:type="dxa" w:w="1350"/>
            <w:shd w:fill="DCE6F1" w:val="clear"/>
            <w:tcMar>
              <w:top w:type="dxa" w:w="90"/>
              <w:left w:type="dxa" w:w="120"/>
              <w:bottom w:type="dxa" w:w="90"/>
              <w:right w:type="dxa" w:w="120"/>
            </w:tcMar>
            <w:vAlign w:val="center"/>
          </w:tcPr>
          <w:p>
            <w:pPr>
              <w:spacing w:after="40" w:line="252"/>
            </w:pPr>
            <w:r>
              <w:rPr>
                <w:rFonts w:ascii="Calibri" w:cs="Calibri" w:eastAsia="Calibri" w:hAnsi="Calibri"/>
                <w:b/>
                <w:bCs/>
                <w:color w:val="2E5A8A"/>
                <w:sz w:val="19"/>
                <w:szCs w:val="19"/>
              </w:rPr>
              <w:t xml:space="preserve">Near-term</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Which streets and roads are at risk, and which are already flooded?</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42,440 named road segments (highway, major, secondary, tertiary) are mapped and intersected with active risk zones today. Running the same intersection against observed satellite flood extent will name streets that are actually underwater post-event.</w:t>
            </w:r>
          </w:p>
        </w:tc>
        <w:tc>
          <w:tcPr>
            <w:tcW w:type="dxa" w:w="1350"/>
            <w:shd w:fill="FCEFDC" w:val="clear"/>
            <w:tcMar>
              <w:top w:type="dxa" w:w="90"/>
              <w:left w:type="dxa" w:w="120"/>
              <w:bottom w:type="dxa" w:w="90"/>
              <w:right w:type="dxa" w:w="120"/>
            </w:tcMar>
            <w:vAlign w:val="center"/>
          </w:tcPr>
          <w:p>
            <w:pPr>
              <w:spacing w:after="40" w:line="252"/>
            </w:pPr>
            <w:r>
              <w:rPr>
                <w:rFonts w:ascii="Calibri" w:cs="Calibri" w:eastAsia="Calibri" w:hAnsi="Calibri"/>
                <w:b/>
                <w:bCs/>
                <w:color w:val="B45309"/>
                <w:sz w:val="19"/>
                <w:szCs w:val="19"/>
              </w:rPr>
              <w:t xml:space="preserve">Live / Near-term</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rainfall pattern?</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29 meteorological stations ingest hourly rainfall, temperature, humidity, wind and pressure. Seven-day rainfall charts and rolling 3h/24h totals are both displayed and fed directly into the forecast models.</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How many buildings are exposed to a given flood zone?</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Not yet part of the exposure layer set (roads, bridges and settlements are live today). Adding a building-footprint layer follows the exact same intersection pattern already built — estimated days of work, not a redesign.</w:t>
            </w:r>
          </w:p>
        </w:tc>
        <w:tc>
          <w:tcPr>
            <w:tcW w:type="dxa" w:w="1350"/>
            <w:shd w:fill="FCEFDC" w:val="clear"/>
            <w:tcMar>
              <w:top w:type="dxa" w:w="90"/>
              <w:left w:type="dxa" w:w="120"/>
              <w:bottom w:type="dxa" w:w="90"/>
              <w:right w:type="dxa" w:w="120"/>
            </w:tcMar>
            <w:vAlign w:val="center"/>
          </w:tcPr>
          <w:p>
            <w:pPr>
              <w:spacing w:after="40" w:line="252"/>
            </w:pPr>
            <w:r>
              <w:rPr>
                <w:rFonts w:ascii="Calibri" w:cs="Calibri" w:eastAsia="Calibri" w:hAnsi="Calibri"/>
                <w:b/>
                <w:bCs/>
                <w:color w:val="B45309"/>
                <w:sz w:val="19"/>
                <w:szCs w:val="19"/>
              </w:rPr>
              <w:t xml:space="preserve">Planned</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current water level at monitored locations?</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26 gauge stations across the Niger, Benue, Kaduna, Sokoto, Cross River and other basins report water level and flow rate every 5 minutes, shown as a percentage of each station's bank-full threshold.</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probability of flooding in the next few hours or days?</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Machine-learning forecasts (XGBoost + LSTM ensemble) at 6, 12, 24, 48 and 72-hour horizons, with model accuracy (AUC-ROC) as high as 0.98 on the shortest horizon.</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Which bridges and river crossings are at risk?</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11,066 mapped bridges are intersected with active risk zones — critical for evacuation planning and logistics routing.</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the overall risk level for a given area right now?</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A four-tier classification — Normal, Watch, Warning, Emergency — is computed per state and per gauge station, with a live alert log of tier changes.</w:t>
            </w:r>
          </w:p>
        </w:tc>
        <w:tc>
          <w:tcPr>
            <w:tcW w:type="dxa" w:w="135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Live</w:t>
            </w:r>
          </w:p>
        </w:tc>
      </w:tr>
      <w:tr>
        <w:tc>
          <w:tcPr>
            <w:tcW w:type="dxa" w:w="3600"/>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What is actually happening on the ground, where sensors don't reach?</w:t>
            </w:r>
          </w:p>
        </w:tc>
        <w:tc>
          <w:tcPr>
            <w:tcW w:type="dxa" w:w="4400"/>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A community reporting module will let residents log flood events they witness (location, time, severity, photo), plotted on the map alongside news-sourced reports as a ground-truth layer to complement model and satellite data.</w:t>
            </w:r>
          </w:p>
        </w:tc>
        <w:tc>
          <w:tcPr>
            <w:tcW w:type="dxa" w:w="1350"/>
            <w:shd w:fill="FCEFDC" w:val="clear"/>
            <w:tcMar>
              <w:top w:type="dxa" w:w="90"/>
              <w:left w:type="dxa" w:w="120"/>
              <w:bottom w:type="dxa" w:w="90"/>
              <w:right w:type="dxa" w:w="120"/>
            </w:tcMar>
            <w:vAlign w:val="center"/>
          </w:tcPr>
          <w:p>
            <w:pPr>
              <w:spacing w:after="40" w:line="252"/>
            </w:pPr>
            <w:r>
              <w:rPr>
                <w:rFonts w:ascii="Calibri" w:cs="Calibri" w:eastAsia="Calibri" w:hAnsi="Calibri"/>
                <w:b/>
                <w:bCs/>
                <w:color w:val="B45309"/>
                <w:sz w:val="19"/>
                <w:szCs w:val="19"/>
              </w:rPr>
              <w:t xml:space="preserve">Planned</w:t>
            </w:r>
          </w:p>
        </w:tc>
      </w:tr>
    </w:tbl>
    <w:p>
      <w:pPr>
        <w:spacing w:before="200"/>
      </w:pPr>
    </w:p>
    <w:p>
      <w:r>
        <w:br w:type="page"/>
      </w:r>
    </w:p>
    <w:p>
      <w:pPr>
        <w:pStyle w:val="Heading1"/>
        <w:pBdr>
          <w:bottom w:val="single" w:color="1F3864" w:sz="6" w:space="4"/>
        </w:pBdr>
        <w:spacing w:after="160" w:before="360"/>
      </w:pPr>
      <w:r>
        <w:rPr>
          <w:rFonts w:ascii="Calibri" w:cs="Calibri" w:eastAsia="Calibri" w:hAnsi="Calibri"/>
          <w:b/>
          <w:bCs/>
          <w:color w:val="1F3864"/>
          <w:sz w:val="27"/>
          <w:szCs w:val="27"/>
        </w:rPr>
        <w:t xml:space="preserve">5. Community Flood Reporting — Closing the Sensor Gap</w:t>
      </w:r>
    </w:p>
    <w:p>
      <w:pPr>
        <w:spacing w:after="160" w:line="276"/>
      </w:pPr>
      <w:r>
        <w:rPr>
          <w:rFonts w:ascii="Calibri" w:cs="Calibri" w:eastAsia="Calibri" w:hAnsi="Calibri"/>
          <w:color w:val="262626"/>
          <w:sz w:val="21"/>
          <w:szCs w:val="21"/>
        </w:rPr>
        <w:t xml:space="preserve">Nigeria does not have dense physical sensor coverage, and gaining direct access to NIHSA/NiMet's in-situ networks is a multi-month institutional process (see Phase 3, Section 8). Until then, and even after, the most reliable and fastest source of ground truth is the people already standing in the water.</w:t>
      </w:r>
    </w:p>
    <w:p>
      <w:pPr>
        <w:pStyle w:val="Heading2"/>
        <w:spacing w:after="120" w:before="260"/>
      </w:pPr>
      <w:r>
        <w:rPr>
          <w:rFonts w:ascii="Calibri" w:cs="Calibri" w:eastAsia="Calibri" w:hAnsi="Calibri"/>
          <w:b/>
          <w:bCs/>
          <w:color w:val="2E5A8A"/>
          <w:sz w:val="23"/>
          <w:szCs w:val="23"/>
        </w:rPr>
        <w:t xml:space="preserve">How it will work</w:t>
      </w:r>
    </w:p>
    <w:p>
      <w:pPr>
        <w:pStyle w:val="ListParagraph"/>
        <w:numPr>
          <w:ilvl w:val="0"/>
          <w:numId w:val="2"/>
        </w:numPr>
        <w:spacing w:after="90" w:line="264"/>
      </w:pPr>
      <w:r>
        <w:rPr>
          <w:rFonts w:ascii="Calibri" w:cs="Calibri" w:eastAsia="Calibri" w:hAnsi="Calibri"/>
          <w:color w:val="262626"/>
          <w:sz w:val="21"/>
          <w:szCs w:val="21"/>
        </w:rPr>
        <w:t xml:space="preserve">Any user can log a flood event they witness directly from the map or a simple form: location (GPS or search), date/time, estimated severity, a short description, and an optional photo.</w:t>
      </w:r>
    </w:p>
    <w:p>
      <w:pPr>
        <w:pStyle w:val="ListParagraph"/>
        <w:numPr>
          <w:ilvl w:val="0"/>
          <w:numId w:val="2"/>
        </w:numPr>
        <w:spacing w:after="90" w:line="264"/>
      </w:pPr>
      <w:r>
        <w:rPr>
          <w:rFonts w:ascii="Calibri" w:cs="Calibri" w:eastAsia="Calibri" w:hAnsi="Calibri"/>
          <w:color w:val="262626"/>
          <w:sz w:val="21"/>
          <w:szCs w:val="21"/>
        </w:rPr>
        <w:t xml:space="preserve">Submissions are geocoded and plotted on the map immediately as a distinct “community-reported” layer, shown alongside — not merged into — the model-derived risk layers, so users can tell modelled risk apart from an eyewitness report.</w:t>
      </w:r>
    </w:p>
    <w:p>
      <w:pPr>
        <w:pStyle w:val="ListParagraph"/>
        <w:numPr>
          <w:ilvl w:val="0"/>
          <w:numId w:val="2"/>
        </w:numPr>
        <w:spacing w:after="90" w:line="264"/>
      </w:pPr>
      <w:r>
        <w:rPr>
          <w:rFonts w:ascii="Calibri" w:cs="Calibri" w:eastAsia="Calibri" w:hAnsi="Calibri"/>
          <w:color w:val="262626"/>
          <w:sz w:val="21"/>
          <w:szCs w:val="21"/>
        </w:rPr>
        <w:t xml:space="preserve">A lightweight moderation queue filters obvious spam or duplicate reports before they render publicly.</w:t>
      </w:r>
    </w:p>
    <w:p>
      <w:pPr>
        <w:pStyle w:val="ListParagraph"/>
        <w:numPr>
          <w:ilvl w:val="0"/>
          <w:numId w:val="2"/>
        </w:numPr>
        <w:spacing w:after="90" w:line="264"/>
      </w:pPr>
      <w:r>
        <w:rPr>
          <w:rFonts w:ascii="Calibri" w:cs="Calibri" w:eastAsia="Calibri" w:hAnsi="Calibri"/>
          <w:color w:val="262626"/>
          <w:sz w:val="21"/>
          <w:szCs w:val="21"/>
        </w:rPr>
        <w:t xml:space="preserve">News-reported flood events (aggregated from media coverage) will populate the same layer as a second, independent ground-truth source, useful for areas with low community engagement.</w:t>
      </w:r>
    </w:p>
    <w:p>
      <w:pPr>
        <w:pStyle w:val="Heading2"/>
        <w:spacing w:after="120" w:before="260"/>
      </w:pPr>
      <w:r>
        <w:rPr>
          <w:rFonts w:ascii="Calibri" w:cs="Calibri" w:eastAsia="Calibri" w:hAnsi="Calibri"/>
          <w:b/>
          <w:bCs/>
          <w:color w:val="2E5A8A"/>
          <w:sz w:val="23"/>
          <w:szCs w:val="23"/>
        </w:rPr>
        <w:t xml:space="preserve">Why it matters</w:t>
      </w:r>
    </w:p>
    <w:p>
      <w:pPr>
        <w:pStyle w:val="ListParagraph"/>
        <w:numPr>
          <w:ilvl w:val="0"/>
          <w:numId w:val="2"/>
        </w:numPr>
        <w:spacing w:after="90" w:line="264"/>
      </w:pPr>
      <w:r>
        <w:rPr>
          <w:rFonts w:ascii="Calibri" w:cs="Calibri" w:eastAsia="Calibri" w:hAnsi="Calibri"/>
          <w:color w:val="262626"/>
          <w:sz w:val="21"/>
          <w:szCs w:val="21"/>
        </w:rPr>
        <w:t xml:space="preserve">It is the fastest and cheapest way to get ground-truth flood observations without waiting on sensor infrastructure or satellite revisit schedules.</w:t>
      </w:r>
    </w:p>
    <w:p>
      <w:pPr>
        <w:pStyle w:val="ListParagraph"/>
        <w:numPr>
          <w:ilvl w:val="0"/>
          <w:numId w:val="2"/>
        </w:numPr>
        <w:spacing w:after="90" w:line="264"/>
      </w:pPr>
      <w:r>
        <w:rPr>
          <w:rFonts w:ascii="Calibri" w:cs="Calibri" w:eastAsia="Calibri" w:hAnsi="Calibri"/>
          <w:color w:val="262626"/>
          <w:sz w:val="21"/>
          <w:szCs w:val="21"/>
        </w:rPr>
        <w:t xml:space="preserve">Over time, community reports become a labelled dataset that can be used to validate and recalibrate the ML forecasts — turning users into a feedback loop that improves the model.</w:t>
      </w:r>
    </w:p>
    <w:p>
      <w:pPr>
        <w:pStyle w:val="ListParagraph"/>
        <w:numPr>
          <w:ilvl w:val="0"/>
          <w:numId w:val="2"/>
        </w:numPr>
        <w:spacing w:after="90" w:line="264"/>
      </w:pPr>
      <w:r>
        <w:rPr>
          <w:rFonts w:ascii="Calibri" w:cs="Calibri" w:eastAsia="Calibri" w:hAnsi="Calibri"/>
          <w:color w:val="262626"/>
          <w:sz w:val="21"/>
          <w:szCs w:val="21"/>
        </w:rPr>
        <w:t xml:space="preserve">It gives visibility into areas that fall outside the current 26/29 station network, which is most of the country's smaller waterways and urban drainage systems.</w:t>
      </w:r>
    </w:p>
    <w:p>
      <w:pPr>
        <w:pStyle w:val="Heading1"/>
        <w:pBdr>
          <w:bottom w:val="single" w:color="1F3864" w:sz="6" w:space="4"/>
        </w:pBdr>
        <w:spacing w:after="160" w:before="360"/>
      </w:pPr>
      <w:r>
        <w:rPr>
          <w:rFonts w:ascii="Calibri" w:cs="Calibri" w:eastAsia="Calibri" w:hAnsi="Calibri"/>
          <w:b/>
          <w:bCs/>
          <w:color w:val="1F3864"/>
          <w:sz w:val="27"/>
          <w:szCs w:val="27"/>
        </w:rPr>
        <w:t xml:space="preserve">6. Benefits of the System</w:t>
      </w:r>
    </w:p>
    <w:p>
      <w:pPr>
        <w:pStyle w:val="ListParagraph"/>
        <w:numPr>
          <w:ilvl w:val="0"/>
          <w:numId w:val="2"/>
        </w:numPr>
        <w:spacing w:after="90" w:line="264"/>
      </w:pPr>
      <w:r>
        <w:rPr>
          <w:rFonts w:ascii="Calibri" w:cs="Calibri" w:eastAsia="Calibri" w:hAnsi="Calibri"/>
          <w:b/>
          <w:bCs/>
          <w:color w:val="262626"/>
          <w:sz w:val="21"/>
          <w:szCs w:val="21"/>
        </w:rPr>
        <w:t xml:space="preserve">Earlier warning, longer lead time — </w:t>
      </w:r>
      <w:r>
        <w:rPr>
          <w:rFonts w:ascii="Calibri" w:cs="Calibri" w:eastAsia="Calibri" w:hAnsi="Calibri"/>
          <w:color w:val="262626"/>
          <w:sz w:val="21"/>
          <w:szCs w:val="21"/>
        </w:rPr>
        <w:t xml:space="preserve">forecasts up to 72 hours ahead (with the 6-hour model reaching 0.98 AUC-ROC accuracy) give responders time to act before water rises, not after.</w:t>
      </w:r>
    </w:p>
    <w:p>
      <w:pPr>
        <w:pStyle w:val="ListParagraph"/>
        <w:numPr>
          <w:ilvl w:val="0"/>
          <w:numId w:val="2"/>
        </w:numPr>
        <w:spacing w:after="90" w:line="264"/>
      </w:pPr>
      <w:r>
        <w:rPr>
          <w:rFonts w:ascii="Calibri" w:cs="Calibri" w:eastAsia="Calibri" w:hAnsi="Calibri"/>
          <w:b/>
          <w:bCs/>
          <w:color w:val="262626"/>
          <w:sz w:val="21"/>
          <w:szCs w:val="21"/>
        </w:rPr>
        <w:t xml:space="preserve">One picture instead of five — </w:t>
      </w:r>
      <w:r>
        <w:rPr>
          <w:rFonts w:ascii="Calibri" w:cs="Calibri" w:eastAsia="Calibri" w:hAnsi="Calibri"/>
          <w:color w:val="262626"/>
          <w:sz w:val="21"/>
          <w:szCs w:val="21"/>
        </w:rPr>
        <w:t xml:space="preserve">gauge data, rainfall, satellite imagery and exposure analysis that today live in separate systems are unified into a single dashboard and API.</w:t>
      </w:r>
    </w:p>
    <w:p>
      <w:pPr>
        <w:pStyle w:val="ListParagraph"/>
        <w:numPr>
          <w:ilvl w:val="0"/>
          <w:numId w:val="2"/>
        </w:numPr>
        <w:spacing w:after="90" w:line="264"/>
      </w:pPr>
      <w:r>
        <w:rPr>
          <w:rFonts w:ascii="Calibri" w:cs="Calibri" w:eastAsia="Calibri" w:hAnsi="Calibri"/>
          <w:b/>
          <w:bCs/>
          <w:color w:val="262626"/>
          <w:sz w:val="21"/>
          <w:szCs w:val="21"/>
        </w:rPr>
        <w:t xml:space="preserve">Actionable, not just informative — </w:t>
      </w:r>
      <w:r>
        <w:rPr>
          <w:rFonts w:ascii="Calibri" w:cs="Calibri" w:eastAsia="Calibri" w:hAnsi="Calibri"/>
          <w:color w:val="262626"/>
          <w:sz w:val="21"/>
          <w:szCs w:val="21"/>
        </w:rPr>
        <w:t xml:space="preserve">the system doesn't stop at “risk is high”; it names the settlements, roads and bridges inside the risk zone and ranks them by population, so resources can be prioritised.</w:t>
      </w:r>
    </w:p>
    <w:p>
      <w:pPr>
        <w:pStyle w:val="ListParagraph"/>
        <w:numPr>
          <w:ilvl w:val="0"/>
          <w:numId w:val="2"/>
        </w:numPr>
        <w:spacing w:after="90" w:line="264"/>
      </w:pPr>
      <w:r>
        <w:rPr>
          <w:rFonts w:ascii="Calibri" w:cs="Calibri" w:eastAsia="Calibri" w:hAnsi="Calibri"/>
          <w:b/>
          <w:bCs/>
          <w:color w:val="262626"/>
          <w:sz w:val="21"/>
          <w:szCs w:val="21"/>
        </w:rPr>
        <w:t xml:space="preserve">Works without waiting for sensors — </w:t>
      </w:r>
      <w:r>
        <w:rPr>
          <w:rFonts w:ascii="Calibri" w:cs="Calibri" w:eastAsia="Calibri" w:hAnsi="Calibri"/>
          <w:color w:val="262626"/>
          <w:sz w:val="21"/>
          <w:szCs w:val="21"/>
        </w:rPr>
        <w:t xml:space="preserve">satellite layers and, soon, community reporting provide flood visibility in the majority of Nigeria that has no physical gauge coverage today.</w:t>
      </w:r>
    </w:p>
    <w:p>
      <w:pPr>
        <w:pStyle w:val="ListParagraph"/>
        <w:numPr>
          <w:ilvl w:val="0"/>
          <w:numId w:val="2"/>
        </w:numPr>
        <w:spacing w:after="90" w:line="264"/>
      </w:pPr>
      <w:r>
        <w:rPr>
          <w:rFonts w:ascii="Calibri" w:cs="Calibri" w:eastAsia="Calibri" w:hAnsi="Calibri"/>
          <w:b/>
          <w:bCs/>
          <w:color w:val="262626"/>
          <w:sz w:val="21"/>
          <w:szCs w:val="21"/>
        </w:rPr>
        <w:t xml:space="preserve">Auditable and repeatable — </w:t>
      </w:r>
      <w:r>
        <w:rPr>
          <w:rFonts w:ascii="Calibri" w:cs="Calibri" w:eastAsia="Calibri" w:hAnsi="Calibri"/>
          <w:color w:val="262626"/>
          <w:sz w:val="21"/>
          <w:szCs w:val="21"/>
        </w:rPr>
        <w:t xml:space="preserve">every alert, prediction and risk classification is logged and queryable via API, replacing ad hoc situational awareness with a data trail.</w:t>
      </w:r>
    </w:p>
    <w:p>
      <w:pPr>
        <w:pStyle w:val="ListParagraph"/>
        <w:numPr>
          <w:ilvl w:val="0"/>
          <w:numId w:val="2"/>
        </w:numPr>
        <w:spacing w:after="90" w:line="264"/>
      </w:pPr>
      <w:r>
        <w:rPr>
          <w:rFonts w:ascii="Calibri" w:cs="Calibri" w:eastAsia="Calibri" w:hAnsi="Calibri"/>
          <w:b/>
          <w:bCs/>
          <w:color w:val="262626"/>
          <w:sz w:val="21"/>
          <w:szCs w:val="21"/>
        </w:rPr>
        <w:t xml:space="preserve">Built to scale — </w:t>
      </w:r>
      <w:r>
        <w:rPr>
          <w:rFonts w:ascii="Calibri" w:cs="Calibri" w:eastAsia="Calibri" w:hAnsi="Calibri"/>
          <w:color w:val="262626"/>
          <w:sz w:val="21"/>
          <w:szCs w:val="21"/>
        </w:rPr>
        <w:t xml:space="preserve">the architecture has a defined migration path to production cloud infrastructure (Cloud SQL, Cloud Run, Cloud Storage) with no redesign required.</w:t>
      </w:r>
    </w:p>
    <w:p>
      <w:pPr>
        <w:pStyle w:val="ListParagraph"/>
        <w:numPr>
          <w:ilvl w:val="0"/>
          <w:numId w:val="2"/>
        </w:numPr>
        <w:spacing w:after="90" w:line="264"/>
      </w:pPr>
      <w:r>
        <w:rPr>
          <w:rFonts w:ascii="Calibri" w:cs="Calibri" w:eastAsia="Calibri" w:hAnsi="Calibri"/>
          <w:b/>
          <w:bCs/>
          <w:color w:val="262626"/>
          <w:sz w:val="21"/>
          <w:szCs w:val="21"/>
        </w:rPr>
        <w:t xml:space="preserve">A foundation for revenue — </w:t>
      </w:r>
      <w:r>
        <w:rPr>
          <w:rFonts w:ascii="Calibri" w:cs="Calibri" w:eastAsia="Calibri" w:hAnsi="Calibri"/>
          <w:color w:val="262626"/>
          <w:sz w:val="21"/>
          <w:szCs w:val="21"/>
        </w:rPr>
        <w:t xml:space="preserve">the same exposure and alerting engine that serves institutional users today is the direct technical foundation for a future consumer subscription product (Section 8).</w:t>
      </w:r>
    </w:p>
    <w:p>
      <w:pPr>
        <w:pStyle w:val="Heading1"/>
        <w:pBdr>
          <w:bottom w:val="single" w:color="1F3864" w:sz="6" w:space="4"/>
        </w:pBdr>
        <w:spacing w:after="160" w:before="360"/>
      </w:pPr>
      <w:r>
        <w:rPr>
          <w:rFonts w:ascii="Calibri" w:cs="Calibri" w:eastAsia="Calibri" w:hAnsi="Calibri"/>
          <w:b/>
          <w:bCs/>
          <w:color w:val="1F3864"/>
          <w:sz w:val="27"/>
          <w:szCs w:val="27"/>
        </w:rPr>
        <w:t xml:space="preserve">7. Target Audience</w:t>
      </w:r>
    </w:p>
    <w:p>
      <w:pPr>
        <w:pStyle w:val="Heading2"/>
        <w:spacing w:after="120" w:before="260"/>
      </w:pPr>
      <w:r>
        <w:rPr>
          <w:rFonts w:ascii="Calibri" w:cs="Calibri" w:eastAsia="Calibri" w:hAnsi="Calibri"/>
          <w:b/>
          <w:bCs/>
          <w:color w:val="2E5A8A"/>
          <w:sz w:val="23"/>
          <w:szCs w:val="23"/>
        </w:rPr>
        <w:t xml:space="preserve">Institutional &amp; government users</w:t>
      </w:r>
    </w:p>
    <w:p>
      <w:pPr>
        <w:pStyle w:val="ListParagraph"/>
        <w:numPr>
          <w:ilvl w:val="0"/>
          <w:numId w:val="2"/>
        </w:numPr>
        <w:spacing w:after="90" w:line="264"/>
      </w:pPr>
      <w:r>
        <w:rPr>
          <w:rFonts w:ascii="Calibri" w:cs="Calibri" w:eastAsia="Calibri" w:hAnsi="Calibri"/>
          <w:color w:val="262626"/>
          <w:sz w:val="21"/>
          <w:szCs w:val="21"/>
        </w:rPr>
        <w:t xml:space="preserve">National and state emergency management agencies (NEMA / SEMA) — situational awareness and resource deployment.</w:t>
      </w:r>
    </w:p>
    <w:p>
      <w:pPr>
        <w:pStyle w:val="ListParagraph"/>
        <w:numPr>
          <w:ilvl w:val="0"/>
          <w:numId w:val="2"/>
        </w:numPr>
        <w:spacing w:after="90" w:line="264"/>
      </w:pPr>
      <w:r>
        <w:rPr>
          <w:rFonts w:ascii="Calibri" w:cs="Calibri" w:eastAsia="Calibri" w:hAnsi="Calibri"/>
          <w:color w:val="262626"/>
          <w:sz w:val="21"/>
          <w:szCs w:val="21"/>
        </w:rPr>
        <w:t xml:space="preserve">NIHSA and NiMet — a complementary monitoring layer alongside official hydrological and meteorological data.</w:t>
      </w:r>
    </w:p>
    <w:p>
      <w:pPr>
        <w:pStyle w:val="ListParagraph"/>
        <w:numPr>
          <w:ilvl w:val="0"/>
          <w:numId w:val="2"/>
        </w:numPr>
        <w:spacing w:after="90" w:line="264"/>
      </w:pPr>
      <w:r>
        <w:rPr>
          <w:rFonts w:ascii="Calibri" w:cs="Calibri" w:eastAsia="Calibri" w:hAnsi="Calibri"/>
          <w:color w:val="262626"/>
          <w:sz w:val="21"/>
          <w:szCs w:val="21"/>
        </w:rPr>
        <w:t xml:space="preserve">State and local government planners — infrastructure and land-use decisions in flood-prone corridors.</w:t>
      </w:r>
    </w:p>
    <w:p>
      <w:pPr>
        <w:pStyle w:val="ListParagraph"/>
        <w:numPr>
          <w:ilvl w:val="0"/>
          <w:numId w:val="2"/>
        </w:numPr>
        <w:spacing w:after="90" w:line="264"/>
      </w:pPr>
      <w:r>
        <w:rPr>
          <w:rFonts w:ascii="Calibri" w:cs="Calibri" w:eastAsia="Calibri" w:hAnsi="Calibri"/>
          <w:color w:val="262626"/>
          <w:sz w:val="21"/>
          <w:szCs w:val="21"/>
        </w:rPr>
        <w:t xml:space="preserve">Humanitarian and disaster-response organisations (Red Cross and similar NGOs) — targeting relief logistics to specific at-risk settlements.</w:t>
      </w:r>
    </w:p>
    <w:p>
      <w:pPr>
        <w:pStyle w:val="ListParagraph"/>
        <w:numPr>
          <w:ilvl w:val="0"/>
          <w:numId w:val="2"/>
        </w:numPr>
        <w:spacing w:after="90" w:line="264"/>
      </w:pPr>
      <w:r>
        <w:rPr>
          <w:rFonts w:ascii="Calibri" w:cs="Calibri" w:eastAsia="Calibri" w:hAnsi="Calibri"/>
          <w:color w:val="262626"/>
          <w:sz w:val="21"/>
          <w:szCs w:val="21"/>
        </w:rPr>
        <w:t xml:space="preserve">Road and transport authorities — pre-emptive closures and rerouting around at-risk bridges and highways.</w:t>
      </w:r>
    </w:p>
    <w:p>
      <w:pPr>
        <w:pStyle w:val="Heading2"/>
        <w:spacing w:after="120" w:before="260"/>
      </w:pPr>
      <w:r>
        <w:rPr>
          <w:rFonts w:ascii="Calibri" w:cs="Calibri" w:eastAsia="Calibri" w:hAnsi="Calibri"/>
          <w:b/>
          <w:bCs/>
          <w:color w:val="2E5A8A"/>
          <w:sz w:val="23"/>
          <w:szCs w:val="23"/>
        </w:rPr>
        <w:t xml:space="preserve">Commercial &amp; individual users (future)</w:t>
      </w:r>
    </w:p>
    <w:p>
      <w:pPr>
        <w:pStyle w:val="ListParagraph"/>
        <w:numPr>
          <w:ilvl w:val="0"/>
          <w:numId w:val="2"/>
        </w:numPr>
        <w:spacing w:after="90" w:line="264"/>
      </w:pPr>
      <w:r>
        <w:rPr>
          <w:rFonts w:ascii="Calibri" w:cs="Calibri" w:eastAsia="Calibri" w:hAnsi="Calibri"/>
          <w:color w:val="262626"/>
          <w:sz w:val="21"/>
          <w:szCs w:val="21"/>
        </w:rPr>
        <w:t xml:space="preserve">Insurance and risk-assessment firms — location-specific flood exposure data for underwriting.</w:t>
      </w:r>
    </w:p>
    <w:p>
      <w:pPr>
        <w:pStyle w:val="ListParagraph"/>
        <w:numPr>
          <w:ilvl w:val="0"/>
          <w:numId w:val="2"/>
        </w:numPr>
        <w:spacing w:after="90" w:line="264"/>
      </w:pPr>
      <w:r>
        <w:rPr>
          <w:rFonts w:ascii="Calibri" w:cs="Calibri" w:eastAsia="Calibri" w:hAnsi="Calibri"/>
          <w:color w:val="262626"/>
          <w:sz w:val="21"/>
          <w:szCs w:val="21"/>
        </w:rPr>
        <w:t xml:space="preserve">Logistics, agriculture and real-estate businesses operating in flood-prone states.</w:t>
      </w:r>
    </w:p>
    <w:p>
      <w:pPr>
        <w:pStyle w:val="ListParagraph"/>
        <w:numPr>
          <w:ilvl w:val="0"/>
          <w:numId w:val="2"/>
        </w:numPr>
        <w:spacing w:after="90" w:line="264"/>
      </w:pPr>
      <w:r>
        <w:rPr>
          <w:rFonts w:ascii="Calibri" w:cs="Calibri" w:eastAsia="Calibri" w:hAnsi="Calibri"/>
          <w:color w:val="262626"/>
          <w:sz w:val="21"/>
          <w:szCs w:val="21"/>
        </w:rPr>
        <w:t xml:space="preserve">Researchers and academic institutions studying flood dynamics in West Africa.</w:t>
      </w:r>
    </w:p>
    <w:p>
      <w:pPr>
        <w:pStyle w:val="ListParagraph"/>
        <w:numPr>
          <w:ilvl w:val="0"/>
          <w:numId w:val="2"/>
        </w:numPr>
        <w:spacing w:after="90" w:line="264"/>
      </w:pPr>
      <w:r>
        <w:rPr>
          <w:rFonts w:ascii="Calibri" w:cs="Calibri" w:eastAsia="Calibri" w:hAnsi="Calibri"/>
          <w:color w:val="262626"/>
          <w:sz w:val="21"/>
          <w:szCs w:val="21"/>
        </w:rPr>
        <w:t xml:space="preserve">Residents of flood-prone communities and media/journalists — via the future public subscription application (Section 8).</w:t>
      </w:r>
    </w:p>
    <w:p>
      <w:r>
        <w:br w:type="page"/>
      </w:r>
    </w:p>
    <w:p>
      <w:pPr>
        <w:pStyle w:val="Heading1"/>
        <w:pBdr>
          <w:bottom w:val="single" w:color="1F3864" w:sz="6" w:space="4"/>
        </w:pBdr>
        <w:spacing w:after="160" w:before="360"/>
      </w:pPr>
      <w:r>
        <w:rPr>
          <w:rFonts w:ascii="Calibri" w:cs="Calibri" w:eastAsia="Calibri" w:hAnsi="Calibri"/>
          <w:b/>
          <w:bCs/>
          <w:color w:val="1F3864"/>
          <w:sz w:val="27"/>
          <w:szCs w:val="27"/>
        </w:rPr>
        <w:t xml:space="preserve">8. Current Status &amp; Development Roadmap</w:t>
      </w:r>
    </w:p>
    <w:p>
      <w:pPr>
        <w:spacing w:after="160" w:line="276"/>
      </w:pPr>
      <w:r>
        <w:rPr>
          <w:rFonts w:ascii="Calibri" w:cs="Calibri" w:eastAsia="Calibri" w:hAnsi="Calibri"/>
          <w:color w:val="262626"/>
          <w:sz w:val="21"/>
          <w:szCs w:val="21"/>
        </w:rPr>
        <w:t xml:space="preserve">The platform is functionally complete in local development, with a real (non-synthetic) data pipeline already active for river discharge, rainfall and satellite imagery. Machine-learning models are trained and passing quality gates on five of seven forecast horizons; the remaining two use a single-model fallback that already performs well and is expected to improve as more real data accumulates. Two components are approximations flagged for near-term refinement: state boundary polygons are currently bounding boxes rather than precise outlines, and rainfall aggregation does not yet weight met stations by distance to each gauge.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150"/>
        <w:gridCol w:w="1500"/>
      </w:tblGrid>
      <w:tr>
        <w:trPr>
          <w:tblHeader/>
        </w:trPr>
        <w:tc>
          <w:tcPr>
            <w:tcW w:type="dxa" w:w="170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Phase</w:t>
            </w:r>
          </w:p>
        </w:tc>
        <w:tc>
          <w:tcPr>
            <w:tcW w:type="dxa" w:w="615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Focus</w:t>
            </w:r>
          </w:p>
        </w:tc>
        <w:tc>
          <w:tcPr>
            <w:tcW w:type="dxa" w:w="1500"/>
            <w:shd w:fill="1F3864" w:val="clear"/>
            <w:tcMar>
              <w:top w:type="dxa" w:w="100"/>
              <w:left w:type="dxa" w:w="120"/>
              <w:bottom w:type="dxa" w:w="100"/>
              <w:right w:type="dxa" w:w="120"/>
            </w:tcMar>
            <w:vAlign w:val="center"/>
          </w:tcPr>
          <w:p>
            <w:pPr>
              <w:spacing w:after="40" w:line="252"/>
            </w:pPr>
            <w:r>
              <w:rPr>
                <w:rFonts w:ascii="Calibri" w:cs="Calibri" w:eastAsia="Calibri" w:hAnsi="Calibri"/>
                <w:b/>
                <w:bCs/>
                <w:color w:val="FFFFFF"/>
                <w:sz w:val="19"/>
                <w:szCs w:val="19"/>
              </w:rPr>
              <w:t xml:space="preserve">Approx. Timeline</w:t>
            </w:r>
          </w:p>
        </w:tc>
      </w:tr>
      <w:tr>
        <w:tc>
          <w:tcPr>
            <w:tcW w:type="dxa" w:w="1700"/>
            <w:shd w:fill="E2F0E3" w:val="clear"/>
            <w:tcMar>
              <w:top w:type="dxa" w:w="90"/>
              <w:left w:type="dxa" w:w="120"/>
              <w:bottom w:type="dxa" w:w="90"/>
              <w:right w:type="dxa" w:w="120"/>
            </w:tcMar>
            <w:vAlign w:val="center"/>
          </w:tcPr>
          <w:p>
            <w:pPr>
              <w:spacing w:after="40" w:line="252"/>
            </w:pPr>
            <w:r>
              <w:rPr>
                <w:rFonts w:ascii="Calibri" w:cs="Calibri" w:eastAsia="Calibri" w:hAnsi="Calibri"/>
                <w:b/>
                <w:bCs/>
                <w:color w:val="1E6B3C"/>
                <w:sz w:val="19"/>
                <w:szCs w:val="19"/>
              </w:rPr>
              <w:t xml:space="preserve">Phase 1 — Now</w:t>
            </w:r>
          </w:p>
        </w:tc>
        <w:tc>
          <w:tcPr>
            <w:tcW w:type="dxa" w:w="6150"/>
            <w:shd w:fill="E2F0E3"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Core prediction &amp; monitoring platform: 26 gauge + 29 met stations, satellite susceptibility and SAR flood-extent layers, 5-horizon ML forecasting, exposure analysis for roads / bridges / settlements, interactive map dashboard.</w:t>
            </w:r>
          </w:p>
        </w:tc>
        <w:tc>
          <w:tcPr>
            <w:tcW w:type="dxa" w:w="1500"/>
            <w:shd w:fill="E2F0E3"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Live</w:t>
            </w:r>
          </w:p>
        </w:tc>
      </w:tr>
      <w:tr>
        <w:tc>
          <w:tcPr>
            <w:tcW w:type="dxa" w:w="1700"/>
            <w:shd w:fill="F2F2F2" w:val="clear"/>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Phase 2 — Near-term</w:t>
            </w:r>
          </w:p>
        </w:tc>
        <w:tc>
          <w:tcPr>
            <w:tcW w:type="dxa" w:w="615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Community flood-reporting module and news-sourced event layer; building-footprint exposure layer; official state boundaries (replacing bounding-box approximations); distance-weighted rainfall; scheduled wet-season satellite runs.</w:t>
            </w:r>
          </w:p>
        </w:tc>
        <w:tc>
          <w:tcPr>
            <w:tcW w:type="dxa" w:w="150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1–2 months</w:t>
            </w:r>
          </w:p>
        </w:tc>
      </w:tr>
      <w:tr>
        <w:tc>
          <w:tcPr>
            <w:tcW w:type="dxa" w:w="1700"/>
            <w:shd w:fill="F2F2F2" w:val="clear"/>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Phase 3 — Mid-term</w:t>
            </w:r>
          </w:p>
        </w:tc>
        <w:tc>
          <w:tcPr>
            <w:tcW w:type="dxa" w:w="615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Formal data-sharing engagement with NIHSA / NiMet for in-situ sensor feeds; production deployment to cloud infrastructure for uptime, scale and redundancy.</w:t>
            </w:r>
          </w:p>
        </w:tc>
        <w:tc>
          <w:tcPr>
            <w:tcW w:type="dxa" w:w="150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3–6 months</w:t>
            </w:r>
          </w:p>
        </w:tc>
      </w:tr>
      <w:tr>
        <w:tc>
          <w:tcPr>
            <w:tcW w:type="dxa" w:w="1700"/>
            <w:shd w:fill="F2F2F2" w:val="clear"/>
            <w:tcMar>
              <w:top w:type="dxa" w:w="90"/>
              <w:left w:type="dxa" w:w="120"/>
              <w:bottom w:type="dxa" w:w="90"/>
              <w:right w:type="dxa" w:w="120"/>
            </w:tcMar>
            <w:vAlign w:val="center"/>
          </w:tcPr>
          <w:p>
            <w:pPr>
              <w:spacing w:after="40" w:line="252"/>
            </w:pPr>
            <w:r>
              <w:rPr>
                <w:rFonts w:ascii="Calibri" w:cs="Calibri" w:eastAsia="Calibri" w:hAnsi="Calibri"/>
                <w:b/>
                <w:bCs/>
                <w:color w:val="262626"/>
                <w:sz w:val="19"/>
                <w:szCs w:val="19"/>
              </w:rPr>
              <w:t xml:space="preserve">Phase 4 — Future</w:t>
            </w:r>
          </w:p>
        </w:tc>
        <w:tc>
          <w:tcPr>
            <w:tcW w:type="dxa" w:w="615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Public-facing subscription application with tiered plans (e.g. free state-level bulletins, standard city/LGA alerts, premium hyperlocal GPS-based push and SMS alerts for specific addresses or routes).</w:t>
            </w:r>
          </w:p>
        </w:tc>
        <w:tc>
          <w:tcPr>
            <w:tcW w:type="dxa" w:w="1500"/>
            <w:shd w:fill="F2F2F2" w:val="clear"/>
            <w:tcMar>
              <w:top w:type="dxa" w:w="90"/>
              <w:left w:type="dxa" w:w="120"/>
              <w:bottom w:type="dxa" w:w="90"/>
              <w:right w:type="dxa" w:w="120"/>
            </w:tcMar>
            <w:vAlign w:val="center"/>
          </w:tcPr>
          <w:p>
            <w:pPr>
              <w:spacing w:after="40" w:line="252"/>
            </w:pPr>
            <w:r>
              <w:rPr>
                <w:rFonts w:ascii="Calibri" w:cs="Calibri" w:eastAsia="Calibri" w:hAnsi="Calibri"/>
                <w:b w:val="false"/>
                <w:bCs w:val="false"/>
                <w:color w:val="262626"/>
                <w:sz w:val="19"/>
                <w:szCs w:val="19"/>
              </w:rPr>
              <w:t xml:space="preserve">6–12 months</w:t>
            </w:r>
          </w:p>
        </w:tc>
      </w:tr>
    </w:tbl>
    <w:p>
      <w:pPr>
        <w:spacing w:before="240"/>
      </w:pPr>
    </w:p>
    <w:p>
      <w:pPr>
        <w:spacing w:after="160" w:line="276"/>
      </w:pPr>
      <w:r>
        <w:rPr>
          <w:rFonts w:ascii="Calibri" w:cs="Calibri" w:eastAsia="Calibri" w:hAnsi="Calibri"/>
          <w:color w:val="262626"/>
          <w:sz w:val="21"/>
          <w:szCs w:val="21"/>
        </w:rPr>
        <w:t xml:space="preserve">The Phase 4 subscription product is the natural extension of infrastructure that already exists: the exposure-intersection engine that today tells an analyst “these 12 settlements are in the Warning zone” is the same engine that would tell an individual subscriber “your address is in the Warning zone.” The main additions required are user accounts, billing/tiering, and location-based push/SMS delivery — not a new prediction or mapping engine.</w:t>
      </w:r>
    </w:p>
    <w:p>
      <w:pPr>
        <w:pStyle w:val="ListParagraph"/>
        <w:numPr>
          <w:ilvl w:val="0"/>
          <w:numId w:val="2"/>
        </w:numPr>
        <w:spacing w:after="90" w:line="264"/>
      </w:pPr>
      <w:r>
        <w:rPr>
          <w:rFonts w:ascii="Calibri" w:cs="Calibri" w:eastAsia="Calibri" w:hAnsi="Calibri"/>
          <w:b/>
          <w:bCs/>
          <w:color w:val="262626"/>
          <w:sz w:val="21"/>
          <w:szCs w:val="21"/>
        </w:rPr>
        <w:t xml:space="preserve">Free tier — </w:t>
      </w:r>
      <w:r>
        <w:rPr>
          <w:rFonts w:ascii="Calibri" w:cs="Calibri" w:eastAsia="Calibri" w:hAnsi="Calibri"/>
          <w:color w:val="262626"/>
          <w:sz w:val="21"/>
          <w:szCs w:val="21"/>
        </w:rPr>
        <w:t xml:space="preserve">state-level bulletins and map access.</w:t>
      </w:r>
    </w:p>
    <w:p>
      <w:pPr>
        <w:pStyle w:val="ListParagraph"/>
        <w:numPr>
          <w:ilvl w:val="0"/>
          <w:numId w:val="2"/>
        </w:numPr>
        <w:spacing w:after="90" w:line="264"/>
      </w:pPr>
      <w:r>
        <w:rPr>
          <w:rFonts w:ascii="Calibri" w:cs="Calibri" w:eastAsia="Calibri" w:hAnsi="Calibri"/>
          <w:b/>
          <w:bCs/>
          <w:color w:val="262626"/>
          <w:sz w:val="21"/>
          <w:szCs w:val="21"/>
        </w:rPr>
        <w:t xml:space="preserve">Standard tier — </w:t>
      </w:r>
      <w:r>
        <w:rPr>
          <w:rFonts w:ascii="Calibri" w:cs="Calibri" w:eastAsia="Calibri" w:hAnsi="Calibri"/>
          <w:color w:val="262626"/>
          <w:sz w:val="21"/>
          <w:szCs w:val="21"/>
        </w:rPr>
        <w:t xml:space="preserve">city/LGA-level alerts and forecast access.</w:t>
      </w:r>
    </w:p>
    <w:p>
      <w:pPr>
        <w:pStyle w:val="ListParagraph"/>
        <w:numPr>
          <w:ilvl w:val="0"/>
          <w:numId w:val="2"/>
        </w:numPr>
        <w:spacing w:after="90" w:line="264"/>
      </w:pPr>
      <w:r>
        <w:rPr>
          <w:rFonts w:ascii="Calibri" w:cs="Calibri" w:eastAsia="Calibri" w:hAnsi="Calibri"/>
          <w:b/>
          <w:bCs/>
          <w:color w:val="262626"/>
          <w:sz w:val="21"/>
          <w:szCs w:val="21"/>
        </w:rPr>
        <w:t xml:space="preserve">Premium tier — </w:t>
      </w:r>
      <w:r>
        <w:rPr>
          <w:rFonts w:ascii="Calibri" w:cs="Calibri" w:eastAsia="Calibri" w:hAnsi="Calibri"/>
          <w:color w:val="262626"/>
          <w:sz w:val="21"/>
          <w:szCs w:val="21"/>
        </w:rPr>
        <w:t xml:space="preserve">hyperlocal, GPS-based push and SMS alerts for specific addresses, routes or multiple saved locations.</w:t>
      </w:r>
    </w:p>
    <w:p>
      <w:pPr>
        <w:pStyle w:val="Heading1"/>
        <w:pBdr>
          <w:bottom w:val="single" w:color="1F3864" w:sz="6" w:space="4"/>
        </w:pBdr>
        <w:spacing w:after="160" w:before="360"/>
      </w:pPr>
      <w:r>
        <w:rPr>
          <w:rFonts w:ascii="Calibri" w:cs="Calibri" w:eastAsia="Calibri" w:hAnsi="Calibri"/>
          <w:b/>
          <w:bCs/>
          <w:color w:val="1F3864"/>
          <w:sz w:val="27"/>
          <w:szCs w:val="27"/>
        </w:rPr>
        <w:t xml:space="preserve">9. Recommendation</w:t>
      </w:r>
    </w:p>
    <w:p>
      <w:pPr>
        <w:spacing w:after="160" w:line="276"/>
      </w:pPr>
      <w:r>
        <w:rPr>
          <w:rFonts w:ascii="Calibri" w:cs="Calibri" w:eastAsia="Calibri" w:hAnsi="Calibri"/>
          <w:color w:val="262626"/>
          <w:sz w:val="21"/>
          <w:szCs w:val="21"/>
        </w:rPr>
        <w:t xml:space="preserve">The system is ready to move from local development into a limited pilot with an institutional partner (e.g. a state emergency management agency) to validate forecasts and exposure outputs against a real wet-season event. In parallel, we recommend approving resourcing for the two near-term items with the highest impact-to-effort ratio: the community flood-reporting module, which directly addresses the sensor-coverage gap raised in this document, and the building exposure layer, which extends the existing intersection engine to answer the outstanding “how many buildings are affected” question. Both fit within the Phase 2 timeline of one to two months without requiring the cloud migration or data-sharing agreements needed for Phase 3.</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Nigeria Flood Prediction and Monitoring System —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2026-07-13T09:38:35.279Z</dcterms:created>
  <dcterms:modified xsi:type="dcterms:W3CDTF">2026-07-13T09:38:35.280Z</dcterms:modified>
</cp:coreProperties>
</file>

<file path=docProps/custom.xml><?xml version="1.0" encoding="utf-8"?>
<Properties xmlns="http://schemas.openxmlformats.org/officeDocument/2006/custom-properties" xmlns:vt="http://schemas.openxmlformats.org/officeDocument/2006/docPropsVTypes"/>
</file>