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000000"/>
          <w:sz w:val="36"/>
          <w:szCs w:val="36"/>
        </w:rPr>
        <w:t xml:space="preserve">Lotus Protocol (Lotus DeFi Labs, Inc.) Diligence Memo</w:t>
      </w:r>
    </w:p>
    <w:p>
      <w:pPr>
        <w:spacing w:after="120"/>
      </w:pPr>
      <w:r>
        <w:rPr>
          <w:rFonts w:ascii="Times New Roman" w:cs="Times New Roman" w:eastAsia="Times New Roman" w:hAnsi="Times New Roman"/>
          <w:b/>
          <w:bCs/>
          <w:sz w:val="22"/>
          <w:szCs w:val="22"/>
        </w:rPr>
        <w:t xml:space="preserve">Team: </w:t>
      </w:r>
      <w:r>
        <w:rPr>
          <w:rFonts w:ascii="Times New Roman" w:cs="Times New Roman" w:eastAsia="Times New Roman" w:hAnsi="Times New Roman"/>
          <w:sz w:val="22"/>
          <w:szCs w:val="22"/>
        </w:rPr>
        <w:t xml:space="preserve">[Names]</w:t>
      </w:r>
      <w:r>
        <w:rPr>
          <w:rFonts w:ascii="Times New Roman" w:cs="Times New Roman" w:eastAsia="Times New Roman" w:hAnsi="Times New Roman"/>
          <w:b/>
          <w:bCs/>
          <w:sz w:val="22"/>
          <w:szCs w:val="22"/>
        </w:rPr>
        <w:t xml:space="preserve">     Date: </w:t>
      </w:r>
      <w:r>
        <w:rPr>
          <w:rFonts w:ascii="Times New Roman" w:cs="Times New Roman" w:eastAsia="Times New Roman" w:hAnsi="Times New Roman"/>
          <w:sz w:val="22"/>
          <w:szCs w:val="22"/>
        </w:rPr>
        <w:t xml:space="preserve">10/16/26</w:t>
      </w:r>
    </w:p>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1. Summary</w:t>
      </w:r>
    </w:p>
    <w:p>
      <w:pPr>
        <w:keepNext/>
        <w:spacing w:after="80"/>
      </w:pPr>
      <w:r>
        <w:rPr>
          <w:rFonts w:ascii="Times New Roman" w:cs="Times New Roman" w:eastAsia="Times New Roman" w:hAnsi="Times New Roman"/>
          <w:i/>
          <w:iCs/>
          <w:color w:val="595959"/>
          <w:sz w:val="22"/>
          <w:szCs w:val="22"/>
        </w:rPr>
        <w:t xml:space="preserve">Pre-launch, pre-revenue. Desk research only; no founder call yet. Figures marked “company data” come from Lotus and are unverified.</w:t>
      </w:r>
    </w:p>
    <w:p>
      <w:pPr>
        <w:spacing w:after="120"/>
      </w:pPr>
      <w:r>
        <w:rPr>
          <w:rFonts w:ascii="Times New Roman" w:cs="Times New Roman" w:eastAsia="Times New Roman" w:hAnsi="Times New Roman"/>
          <w:b/>
          <w:bCs/>
          <w:sz w:val="22"/>
          <w:szCs w:val="22"/>
        </w:rPr>
        <w:t xml:space="preserve">What they do: </w:t>
      </w:r>
      <w:r>
        <w:rPr>
          <w:rFonts w:ascii="Times New Roman" w:cs="Times New Roman" w:eastAsia="Times New Roman" w:hAnsi="Times New Roman"/>
          <w:sz w:val="22"/>
          <w:szCs w:val="22"/>
        </w:rPr>
        <w:t xml:space="preserve">Lotus helps DeFi lenders, vault managers and BTC/ETH-backed borrowers choose how much risk to take on a loan without splitting liquidity across separate markets, by putting several risk tiers (each with its own loan-to-value limit and interest rate) inside one shared lending market on Ethereum.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Top 3 strengths</w:t>
            </w:r>
          </w:p>
        </w:tc>
        <w:tc>
          <w:tcPr>
            <w:tcW w:type="dxa" w:w="4968"/>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Top 3 risks</w:t>
            </w:r>
          </w:p>
        </w:tc>
      </w:tr>
      <w:tr>
        <w:trPr>
          <w:tblHeader w:val="false"/>
        </w:trPr>
        <w:tc>
          <w:tcPr>
            <w:tcW w:type="dxa" w:w="4968"/>
            <w:tcBorders>
              <w:top w:val="single" w:color="A6A6A6" w:sz="4"/>
              <w:left w:val="single" w:color="A6A6A6" w:sz="4"/>
              <w:bottom w:val="single" w:color="A6A6A6" w:sz="4"/>
              <w:right w:val="single" w:color="A6A6A6" w:sz="4"/>
            </w:tcBorders>
            <w:tcMar>
              <w:top w:type="dxa" w:w="80"/>
              <w:left w:type="dxa" w:w="110"/>
              <w:bottom w:type="dxa" w:w="80"/>
              <w:right w:type="dxa" w:w="110"/>
            </w:tcMar>
          </w:tcPr>
          <w:p>
            <w:pPr>
              <w:pStyle w:val="ListParagraph"/>
              <w:numPr>
                <w:ilvl w:val="0"/>
                <w:numId w:val="2"/>
              </w:numPr>
              <w:spacing w:after="60"/>
            </w:pPr>
            <w:r>
              <w:rPr>
                <w:rFonts w:ascii="Times New Roman" w:cs="Times New Roman" w:eastAsia="Times New Roman" w:hAnsi="Times New Roman"/>
                <w:b/>
                <w:bCs/>
                <w:sz w:val="22"/>
                <w:szCs w:val="22"/>
              </w:rPr>
              <w:t xml:space="preserve">Real, observable problem.</w:t>
            </w:r>
            <w:r>
              <w:rPr>
                <w:rFonts w:ascii="Times New Roman" w:cs="Times New Roman" w:eastAsia="Times New Roman" w:hAnsi="Times New Roman"/>
                <w:sz w:val="22"/>
                <w:szCs w:val="22"/>
              </w:rPr>
              <w:t xml:space="preserve"> Existing lenders offer one risk setting per market; adding settings splits liquidity. Lotus’s mechanism (several tiers sharing one pool) is not offered by Aave, Morpho or Euler.</w:t>
            </w:r>
          </w:p>
          <w:p>
            <w:pPr>
              <w:pStyle w:val="ListParagraph"/>
              <w:numPr>
                <w:ilvl w:val="0"/>
                <w:numId w:val="2"/>
              </w:numPr>
              <w:spacing w:after="60"/>
            </w:pPr>
            <w:r>
              <w:rPr>
                <w:rFonts w:ascii="Times New Roman" w:cs="Times New Roman" w:eastAsia="Times New Roman" w:hAnsi="Times New Roman"/>
                <w:b/>
                <w:bCs/>
                <w:sz w:val="22"/>
                <w:szCs w:val="22"/>
              </w:rPr>
              <w:t xml:space="preserve">Careful engineering for its stage.</w:t>
            </w:r>
            <w:r>
              <w:rPr>
                <w:rFonts w:ascii="Times New Roman" w:cs="Times New Roman" w:eastAsia="Times New Roman" w:hAnsi="Times New Roman"/>
                <w:sz w:val="22"/>
                <w:szCs w:val="22"/>
              </w:rPr>
              <w:t xml:space="preserve"> Two audits (0x52; Cyfrin: 60 findings, 57 fixed), formal verification of 184 rules, a core contract that cannot be upgraded, and unusually candid documentation.</w:t>
            </w:r>
          </w:p>
          <w:p>
            <w:pPr>
              <w:pStyle w:val="ListParagraph"/>
              <w:numPr>
                <w:ilvl w:val="0"/>
                <w:numId w:val="2"/>
              </w:numPr>
              <w:spacing w:after="60"/>
            </w:pPr>
            <w:r>
              <w:rPr>
                <w:rFonts w:ascii="Times New Roman" w:cs="Times New Roman" w:eastAsia="Times New Roman" w:hAnsi="Times New Roman"/>
                <w:b/>
                <w:bCs/>
                <w:sz w:val="22"/>
                <w:szCs w:val="22"/>
              </w:rPr>
              <w:t xml:space="preserve">Counterparties lined up before launch.</w:t>
            </w:r>
            <w:r>
              <w:rPr>
                <w:rFonts w:ascii="Times New Roman" w:cs="Times New Roman" w:eastAsia="Times New Roman" w:hAnsi="Times New Roman"/>
                <w:sz w:val="22"/>
                <w:szCs w:val="22"/>
              </w:rPr>
              <w:t xml:space="preserve"> Three outside vault managers (Block Analitica, Nonce Capital, Maven 11), an RWA credit manager (Cicada), Credora risk ratings, and a WisdomTree/Coinbase reserve setup. Pre-deposits open Oct 26 / Nov 5, so demand data arrives within weeks.</w:t>
            </w:r>
          </w:p>
        </w:tc>
        <w:tc>
          <w:tcPr>
            <w:tcW w:type="dxa" w:w="4968"/>
            <w:tcBorders>
              <w:top w:val="single" w:color="A6A6A6" w:sz="4"/>
              <w:left w:val="single" w:color="A6A6A6" w:sz="4"/>
              <w:bottom w:val="single" w:color="A6A6A6" w:sz="4"/>
              <w:right w:val="single" w:color="A6A6A6" w:sz="4"/>
            </w:tcBorders>
            <w:tcMar>
              <w:top w:type="dxa" w:w="80"/>
              <w:left w:type="dxa" w:w="110"/>
              <w:bottom w:type="dxa" w:w="80"/>
              <w:right w:type="dxa" w:w="110"/>
            </w:tcMar>
          </w:tcPr>
          <w:p>
            <w:pPr>
              <w:pStyle w:val="ListParagraph"/>
              <w:numPr>
                <w:ilvl w:val="0"/>
                <w:numId w:val="2"/>
              </w:numPr>
              <w:spacing w:after="60"/>
            </w:pPr>
            <w:r>
              <w:rPr>
                <w:rFonts w:ascii="Times New Roman" w:cs="Times New Roman" w:eastAsia="Times New Roman" w:hAnsi="Times New Roman"/>
                <w:b/>
                <w:bCs/>
                <w:sz w:val="22"/>
                <w:szCs w:val="22"/>
              </w:rPr>
              <w:t xml:space="preserve">Does not address what limits lending.</w:t>
            </w:r>
            <w:r>
              <w:rPr>
                <w:rFonts w:ascii="Times New Roman" w:cs="Times New Roman" w:eastAsia="Times New Roman" w:hAnsi="Times New Roman"/>
                <w:sz w:val="22"/>
                <w:szCs w:val="22"/>
              </w:rPr>
              <w:t xml:space="preserve"> Lending is constrained by borrower demand, loss-absorbing capital and distribution, not by how risk is sliced. Morpho and Aave hold the liquidity and distribution and could copy the feature; much of Lotus is built on Morpho’s open-source code.</w:t>
            </w:r>
          </w:p>
          <w:p>
            <w:pPr>
              <w:pStyle w:val="ListParagraph"/>
              <w:numPr>
                <w:ilvl w:val="0"/>
                <w:numId w:val="2"/>
              </w:numPr>
              <w:spacing w:after="60"/>
            </w:pPr>
            <w:r>
              <w:rPr>
                <w:rFonts w:ascii="Times New Roman" w:cs="Times New Roman" w:eastAsia="Times New Roman" w:hAnsi="Times New Roman"/>
                <w:b/>
                <w:bCs/>
                <w:sz w:val="22"/>
                <w:szCs w:val="22"/>
              </w:rPr>
              <w:t xml:space="preserve">Thin, unproven revenue model.</w:t>
            </w:r>
            <w:r>
              <w:rPr>
                <w:rFonts w:ascii="Times New Roman" w:cs="Times New Roman" w:eastAsia="Times New Roman" w:hAnsi="Times New Roman"/>
                <w:sz w:val="22"/>
                <w:szCs w:val="22"/>
              </w:rPr>
              <w:t xml:space="preserve"> Lotus earns only a protocol fee on borrower interest, rate not yet set, and charges nothing on its own vaults at launch. Meaningful revenue needs several billion dollars of loans.</w:t>
            </w:r>
          </w:p>
          <w:p>
            <w:pPr>
              <w:pStyle w:val="ListParagraph"/>
              <w:numPr>
                <w:ilvl w:val="0"/>
                <w:numId w:val="2"/>
              </w:numPr>
              <w:spacing w:after="60"/>
            </w:pPr>
            <w:r>
              <w:rPr>
                <w:rFonts w:ascii="Times New Roman" w:cs="Times New Roman" w:eastAsia="Times New Roman" w:hAnsi="Times New Roman"/>
                <w:b/>
                <w:bCs/>
                <w:sz w:val="22"/>
                <w:szCs w:val="22"/>
              </w:rPr>
              <w:t xml:space="preserve">Risk management and key-person gaps.</w:t>
            </w:r>
            <w:r>
              <w:rPr>
                <w:rFonts w:ascii="Times New Roman" w:cs="Times New Roman" w:eastAsia="Times New Roman" w:hAnsi="Times New Roman"/>
                <w:sz w:val="22"/>
                <w:szCs w:val="22"/>
              </w:rPr>
              <w:t xml:space="preserve"> No one on the visible team (2–10 people) has a risk or credit background, yet Lotus will set the parameters of its launch markets. Every market also depends on one custodial reserve token (LotusUSD). Launch has slipped twice.</w:t>
            </w:r>
          </w:p>
        </w:tc>
      </w:tr>
    </w:tbl>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2. People</w:t>
      </w:r>
    </w:p>
    <w:p>
      <w:pPr>
        <w:keepNext/>
        <w:spacing w:after="100" w:before="40"/>
      </w:pPr>
      <w:r>
        <w:rPr>
          <w:rFonts w:ascii="Times New Roman" w:cs="Times New Roman" w:eastAsia="Times New Roman" w:hAnsi="Times New Roman"/>
          <w:i/>
          <w:iCs/>
          <w:sz w:val="22"/>
          <w:szCs w:val="22"/>
        </w:rPr>
        <w:t xml:space="preserve">Can this team win?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What to look at</w:t>
            </w:r>
          </w:p>
        </w:tc>
        <w:tc>
          <w:tcPr>
            <w:tcW w:type="dxa" w:w="653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Your notes</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Experience</w:t>
            </w:r>
          </w:p>
          <w:p>
            <w:pPr>
              <w:spacing w:after="0"/>
            </w:pPr>
            <w:r>
              <w:rPr>
                <w:rFonts w:ascii="Times New Roman" w:cs="Times New Roman" w:eastAsia="Times New Roman" w:hAnsi="Times New Roman"/>
                <w:i/>
                <w:iCs/>
                <w:color w:val="595959"/>
                <w:sz w:val="20"/>
                <w:szCs w:val="20"/>
              </w:rPr>
              <w:t xml:space="preserve">Do they know this industry? Why are they the right people?</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David Reising, Founder &amp; CEO.</w:t>
            </w:r>
            <w:r>
              <w:rPr>
                <w:rFonts w:ascii="Times New Roman" w:cs="Times New Roman" w:eastAsia="Times New Roman" w:hAnsi="Times New Roman"/>
                <w:sz w:val="22"/>
                <w:szCs w:val="22"/>
              </w:rPr>
              <w:t xml:space="preserve"> Started in finance at Exodus (crypto wallet) and moved into product there; then Head of Product at Index Coop for about 4.5 years, building onchain index and leveraged products. Index Coop peaked at about $550M in deposits. He says the leveraged products he wanted to build were held back by the lending markets available, which is the origin of Lotus (company account).</w:t>
            </w:r>
          </w:p>
          <w:p>
            <w:pPr>
              <w:spacing w:after="60"/>
            </w:pPr>
            <w:r>
              <w:rPr>
                <w:rFonts w:ascii="Times New Roman" w:cs="Times New Roman" w:eastAsia="Times New Roman" w:hAnsi="Times New Roman"/>
                <w:b/>
                <w:bCs/>
                <w:sz w:val="22"/>
                <w:szCs w:val="22"/>
              </w:rPr>
              <w:t xml:space="preserve">Other identified people:</w:t>
            </w:r>
          </w:p>
          <w:p>
            <w:pPr>
              <w:pStyle w:val="ListParagraph"/>
              <w:numPr>
                <w:ilvl w:val="0"/>
                <w:numId w:val="2"/>
              </w:numPr>
              <w:spacing w:after="40"/>
            </w:pPr>
            <w:r>
              <w:rPr>
                <w:rFonts w:ascii="Times New Roman" w:cs="Times New Roman" w:eastAsia="Times New Roman" w:hAnsi="Times New Roman"/>
                <w:b/>
                <w:bCs/>
                <w:sz w:val="22"/>
                <w:szCs w:val="22"/>
              </w:rPr>
              <w:t xml:space="preserve">Pranav Bhardwaj</w:t>
            </w:r>
            <w:r>
              <w:rPr>
                <w:rFonts w:ascii="Times New Roman" w:cs="Times New Roman" w:eastAsia="Times New Roman" w:hAnsi="Times New Roman"/>
                <w:sz w:val="22"/>
                <w:szCs w:val="22"/>
              </w:rPr>
              <w:t xml:space="preserve">: credited by Lotus with running security design and operations. A same-name LinkedIn profile lists Set Labs (Index Coop’s infrastructure) and Stanford; not confirmed to be the same person.</w:t>
            </w:r>
          </w:p>
          <w:p>
            <w:pPr>
              <w:pStyle w:val="ListParagraph"/>
              <w:numPr>
                <w:ilvl w:val="0"/>
                <w:numId w:val="2"/>
              </w:numPr>
              <w:spacing w:after="40"/>
            </w:pPr>
            <w:r>
              <w:rPr>
                <w:rFonts w:ascii="Times New Roman" w:cs="Times New Roman" w:eastAsia="Times New Roman" w:hAnsi="Times New Roman"/>
                <w:b/>
                <w:bCs/>
                <w:sz w:val="22"/>
                <w:szCs w:val="22"/>
              </w:rPr>
              <w:t xml:space="preserve">Jordan Tonani</w:t>
            </w:r>
            <w:r>
              <w:rPr>
                <w:rFonts w:ascii="Times New Roman" w:cs="Times New Roman" w:eastAsia="Times New Roman" w:hAnsi="Times New Roman"/>
                <w:sz w:val="22"/>
                <w:szCs w:val="22"/>
              </w:rPr>
              <w:t xml:space="preserve">: founding BD &amp; partnerships since Feb 2026; previously Index Coop and Morgan Stanley.</w:t>
            </w:r>
          </w:p>
          <w:p>
            <w:pPr>
              <w:pStyle w:val="ListParagraph"/>
              <w:numPr>
                <w:ilvl w:val="0"/>
                <w:numId w:val="2"/>
              </w:numPr>
              <w:spacing w:after="40"/>
            </w:pPr>
            <w:r>
              <w:rPr>
                <w:rFonts w:ascii="Times New Roman" w:cs="Times New Roman" w:eastAsia="Times New Roman" w:hAnsi="Times New Roman"/>
                <w:sz w:val="22"/>
                <w:szCs w:val="22"/>
              </w:rPr>
              <w:t xml:space="preserve">William Bancroft, Raveen Ranadewa, Chavis Hamilton: listed on Lotus’s LinkedIn; roles unknown.</w:t>
            </w:r>
          </w:p>
          <w:p>
            <w:pPr>
              <w:spacing w:after="60"/>
            </w:pPr>
            <w:r>
              <w:rPr>
                <w:rFonts w:ascii="Times New Roman" w:cs="Times New Roman" w:eastAsia="Times New Roman" w:hAnsi="Times New Roman"/>
                <w:b/>
                <w:bCs/>
                <w:sz w:val="22"/>
                <w:szCs w:val="22"/>
              </w:rPr>
              <w:t xml:space="preserve">Fit:</w:t>
            </w:r>
            <w:r>
              <w:rPr>
                <w:rFonts w:ascii="Times New Roman" w:cs="Times New Roman" w:eastAsia="Times New Roman" w:hAnsi="Times New Roman"/>
                <w:sz w:val="22"/>
                <w:szCs w:val="22"/>
              </w:rPr>
              <w:t xml:space="preserve"> the team knows onchain product building and has seen the lending problem firsthand. It does not visibly include anyone with credit, market-risk or quant experience. That matters because Lotus’s product is risk pricing, and its own docs say Lotus will set and manage the rate curves and liquidation terms of the launch markets. Aave pays outside risk firms $1.6M–$2.5M+ a year for the same job.</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Team</w:t>
            </w:r>
          </w:p>
          <w:p>
            <w:pPr>
              <w:spacing w:after="0"/>
            </w:pPr>
            <w:r>
              <w:rPr>
                <w:rFonts w:ascii="Times New Roman" w:cs="Times New Roman" w:eastAsia="Times New Roman" w:hAnsi="Times New Roman"/>
                <w:i/>
                <w:iCs/>
                <w:color w:val="595959"/>
                <w:sz w:val="20"/>
                <w:szCs w:val="20"/>
              </w:rPr>
              <w:t xml:space="preserve">Do the founders have complementary skills? Are they coachable?</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Skills present:</w:t>
            </w:r>
            <w:r>
              <w:rPr>
                <w:rFonts w:ascii="Times New Roman" w:cs="Times New Roman" w:eastAsia="Times New Roman" w:hAnsi="Times New Roman"/>
                <w:sz w:val="22"/>
                <w:szCs w:val="22"/>
              </w:rPr>
              <w:t xml:space="preserve"> product (Reising), engineering and security (Bhardwaj), partnerships (Tonani). No named CTO or co-founder.</w:t>
            </w:r>
          </w:p>
          <w:p>
            <w:pPr>
              <w:spacing w:after="60"/>
            </w:pPr>
            <w:r>
              <w:rPr>
                <w:rFonts w:ascii="Times New Roman" w:cs="Times New Roman" w:eastAsia="Times New Roman" w:hAnsi="Times New Roman"/>
                <w:b/>
                <w:bCs/>
                <w:sz w:val="22"/>
                <w:szCs w:val="22"/>
              </w:rPr>
              <w:t xml:space="preserve">Missing:</w:t>
            </w:r>
            <w:r>
              <w:rPr>
                <w:rFonts w:ascii="Times New Roman" w:cs="Times New Roman" w:eastAsia="Times New Roman" w:hAnsi="Times New Roman"/>
                <w:sz w:val="22"/>
                <w:szCs w:val="22"/>
              </w:rPr>
              <w:t xml:space="preserve"> a risk/credit lead; legal and compliance depth for LotusUSD, a reserve token held with Coinbase and WisdomTree by a US company.</w:t>
            </w:r>
          </w:p>
          <w:p>
            <w:pPr>
              <w:spacing w:after="60"/>
            </w:pPr>
            <w:r>
              <w:rPr>
                <w:rFonts w:ascii="Times New Roman" w:cs="Times New Roman" w:eastAsia="Times New Roman" w:hAnsi="Times New Roman"/>
                <w:b/>
                <w:bCs/>
                <w:sz w:val="22"/>
                <w:szCs w:val="22"/>
              </w:rPr>
              <w:t xml:space="preserve">Coachability:</w:t>
            </w:r>
            <w:r>
              <w:rPr>
                <w:rFonts w:ascii="Times New Roman" w:cs="Times New Roman" w:eastAsia="Times New Roman" w:hAnsi="Times New Roman"/>
                <w:sz w:val="22"/>
                <w:szCs w:val="22"/>
              </w:rPr>
              <w:t xml:space="preserve"> cannot be judged from desk research. Positive signals: documentation openly lists their own product defects; testnet feedback sessions with 20+ participants (company data). Watch item: launch target has slipped from Q2 to Q3 to Q4 2026.</w:t>
            </w:r>
          </w:p>
          <w:p>
            <w:pPr>
              <w:spacing w:after="60"/>
            </w:pPr>
            <w:r>
              <w:rPr>
                <w:rFonts w:ascii="Times New Roman" w:cs="Times New Roman" w:eastAsia="Times New Roman" w:hAnsi="Times New Roman"/>
                <w:b/>
                <w:bCs/>
                <w:sz w:val="22"/>
                <w:szCs w:val="22"/>
              </w:rPr>
              <w:t xml:space="preserve">To confirm:</w:t>
            </w:r>
            <w:r>
              <w:rPr>
                <w:rFonts w:ascii="Times New Roman" w:cs="Times New Roman" w:eastAsia="Times New Roman" w:hAnsi="Times New Roman"/>
                <w:sz w:val="22"/>
                <w:szCs w:val="22"/>
              </w:rPr>
              <w:t xml:space="preserve"> full team and roles, who designed the rate and liquidation math, founder vesting, and whether a head of risk is planned before mainnet.</w:t>
            </w:r>
          </w:p>
        </w:tc>
      </w:tr>
    </w:tbl>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3. Problem</w:t>
      </w:r>
    </w:p>
    <w:p>
      <w:pPr>
        <w:keepNext/>
        <w:spacing w:after="100" w:before="40"/>
      </w:pPr>
      <w:r>
        <w:rPr>
          <w:rFonts w:ascii="Times New Roman" w:cs="Times New Roman" w:eastAsia="Times New Roman" w:hAnsi="Times New Roman"/>
          <w:i/>
          <w:iCs/>
          <w:sz w:val="22"/>
          <w:szCs w:val="22"/>
        </w:rPr>
        <w:t xml:space="preserve">Is this a big, real problem?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What to look at</w:t>
            </w:r>
          </w:p>
        </w:tc>
        <w:tc>
          <w:tcPr>
            <w:tcW w:type="dxa" w:w="653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Your notes</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Problem &amp; customer</w:t>
            </w:r>
          </w:p>
          <w:p>
            <w:pPr>
              <w:spacing w:after="0"/>
            </w:pPr>
            <w:r>
              <w:rPr>
                <w:rFonts w:ascii="Times New Roman" w:cs="Times New Roman" w:eastAsia="Times New Roman" w:hAnsi="Times New Roman"/>
                <w:i/>
                <w:iCs/>
                <w:color w:val="595959"/>
                <w:sz w:val="20"/>
                <w:szCs w:val="20"/>
              </w:rPr>
              <w:t xml:space="preserve">What’s the pain point, and who has it? Who pays?</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Pain point.</w:t>
            </w:r>
            <w:r>
              <w:rPr>
                <w:rFonts w:ascii="Times New Roman" w:cs="Times New Roman" w:eastAsia="Times New Roman" w:hAnsi="Times New Roman"/>
                <w:sz w:val="22"/>
                <w:szCs w:val="22"/>
              </w:rPr>
              <w:t xml:space="preserve"> DeFi lenders can either share one blended risk setting with everyone (Aave) or use separate markets for each setting (Morpho). Separate markets split liquidity, so in practice only one or two settings per asset pair attract capital. Example: two Morpho WBTC/USDC markets with identical terms charged 4.70% vs 9.02%, with $1.9M vs $114.5M borrowed (company data). The result is that lenders cannot easily earn more for taking more leverage risk against BTC and ETH collateral.</w:t>
            </w:r>
          </w:p>
          <w:p>
            <w:pPr>
              <w:spacing w:after="60"/>
            </w:pPr>
            <w:r>
              <w:rPr>
                <w:rFonts w:ascii="Times New Roman" w:cs="Times New Roman" w:eastAsia="Times New Roman" w:hAnsi="Times New Roman"/>
                <w:b/>
                <w:bCs/>
                <w:sz w:val="22"/>
                <w:szCs w:val="22"/>
              </w:rPr>
              <w:t xml:space="preserve">Who has it:</w:t>
            </w:r>
          </w:p>
          <w:p>
            <w:pPr>
              <w:pStyle w:val="ListParagraph"/>
              <w:numPr>
                <w:ilvl w:val="0"/>
                <w:numId w:val="2"/>
              </w:numPr>
              <w:spacing w:after="40"/>
            </w:pPr>
            <w:r>
              <w:rPr>
                <w:rFonts w:ascii="Times New Roman" w:cs="Times New Roman" w:eastAsia="Times New Roman" w:hAnsi="Times New Roman"/>
                <w:b/>
                <w:bCs/>
                <w:sz w:val="22"/>
                <w:szCs w:val="22"/>
              </w:rPr>
              <w:t xml:space="preserve">Vault managers</w:t>
            </w:r>
            <w:r>
              <w:rPr>
                <w:rFonts w:ascii="Times New Roman" w:cs="Times New Roman" w:eastAsia="Times New Roman" w:hAnsi="Times New Roman"/>
                <w:sz w:val="22"/>
                <w:szCs w:val="22"/>
              </w:rPr>
              <w:t xml:space="preserve"> who build lending strategies and want to offer more than “conservative” or “high-yield”. This is Lotus’s main customer.</w:t>
            </w:r>
          </w:p>
          <w:p>
            <w:pPr>
              <w:pStyle w:val="ListParagraph"/>
              <w:numPr>
                <w:ilvl w:val="0"/>
                <w:numId w:val="2"/>
              </w:numPr>
              <w:spacing w:after="40"/>
            </w:pPr>
            <w:r>
              <w:rPr>
                <w:rFonts w:ascii="Times New Roman" w:cs="Times New Roman" w:eastAsia="Times New Roman" w:hAnsi="Times New Roman"/>
                <w:b/>
                <w:bCs/>
                <w:sz w:val="22"/>
                <w:szCs w:val="22"/>
              </w:rPr>
              <w:t xml:space="preserve">Borrowers against BTC/ETH</w:t>
            </w:r>
            <w:r>
              <w:rPr>
                <w:rFonts w:ascii="Times New Roman" w:cs="Times New Roman" w:eastAsia="Times New Roman" w:hAnsi="Times New Roman"/>
                <w:sz w:val="22"/>
                <w:szCs w:val="22"/>
              </w:rPr>
              <w:t xml:space="preserve"> (traders, credit desks) who want to choose between more leverage and a lower rate.</w:t>
            </w:r>
          </w:p>
          <w:p>
            <w:pPr>
              <w:pStyle w:val="ListParagraph"/>
              <w:numPr>
                <w:ilvl w:val="0"/>
                <w:numId w:val="2"/>
              </w:numPr>
              <w:spacing w:after="40"/>
            </w:pPr>
            <w:r>
              <w:rPr>
                <w:rFonts w:ascii="Times New Roman" w:cs="Times New Roman" w:eastAsia="Times New Roman" w:hAnsi="Times New Roman"/>
                <w:b/>
                <w:bCs/>
                <w:sz w:val="22"/>
                <w:szCs w:val="22"/>
              </w:rPr>
              <w:t xml:space="preserve">Large crypto depositors</w:t>
            </w:r>
            <w:r>
              <w:rPr>
                <w:rFonts w:ascii="Times New Roman" w:cs="Times New Roman" w:eastAsia="Times New Roman" w:hAnsi="Times New Roman"/>
                <w:sz w:val="22"/>
                <w:szCs w:val="22"/>
              </w:rPr>
              <w:t xml:space="preserve">, reached through Lotus’s own vaults.</w:t>
            </w:r>
          </w:p>
          <w:p>
            <w:pPr>
              <w:spacing w:after="60"/>
            </w:pPr>
            <w:r>
              <w:rPr>
                <w:rFonts w:ascii="Times New Roman" w:cs="Times New Roman" w:eastAsia="Times New Roman" w:hAnsi="Times New Roman"/>
                <w:b/>
                <w:bCs/>
                <w:sz w:val="22"/>
                <w:szCs w:val="22"/>
              </w:rPr>
              <w:t xml:space="preserve">Who pays.</w:t>
            </w:r>
            <w:r>
              <w:rPr>
                <w:rFonts w:ascii="Times New Roman" w:cs="Times New Roman" w:eastAsia="Times New Roman" w:hAnsi="Times New Roman"/>
                <w:sz w:val="22"/>
                <w:szCs w:val="22"/>
              </w:rPr>
              <w:t xml:space="preserve"> Borrowers pay interest; lenders receive it. Lotus takes a protocol fee of up to 25% of the credit-spread interest (rate not yet set). Vault managers keep their own fees.</w:t>
            </w:r>
          </w:p>
          <w:p>
            <w:pPr>
              <w:spacing w:after="60"/>
            </w:pPr>
            <w:r>
              <w:rPr>
                <w:rFonts w:ascii="Times New Roman" w:cs="Times New Roman" w:eastAsia="Times New Roman" w:hAnsi="Times New Roman"/>
                <w:b/>
                <w:bCs/>
                <w:sz w:val="22"/>
                <w:szCs w:val="22"/>
              </w:rPr>
              <w:t xml:space="preserve">Our view.</w:t>
            </w:r>
            <w:r>
              <w:rPr>
                <w:rFonts w:ascii="Times New Roman" w:cs="Times New Roman" w:eastAsia="Times New Roman" w:hAnsi="Times New Roman"/>
                <w:sz w:val="22"/>
                <w:szCs w:val="22"/>
              </w:rPr>
              <w:t xml:space="preserve"> The problem is real but secondary. Lending is constrained mainly by:</w:t>
            </w:r>
          </w:p>
          <w:p>
            <w:pPr>
              <w:pStyle w:val="ListParagraph"/>
              <w:numPr>
                <w:ilvl w:val="0"/>
                <w:numId w:val="2"/>
              </w:numPr>
              <w:spacing w:after="40"/>
            </w:pPr>
            <w:r>
              <w:rPr>
                <w:rFonts w:ascii="Times New Roman" w:cs="Times New Roman" w:eastAsia="Times New Roman" w:hAnsi="Times New Roman"/>
                <w:b/>
                <w:bCs/>
                <w:sz w:val="22"/>
                <w:szCs w:val="22"/>
              </w:rPr>
              <w:t xml:space="preserve">Borrower demand.</w:t>
            </w:r>
            <w:r>
              <w:rPr>
                <w:rFonts w:ascii="Times New Roman" w:cs="Times New Roman" w:eastAsia="Times New Roman" w:hAnsi="Times New Roman"/>
                <w:sz w:val="22"/>
                <w:szCs w:val="22"/>
              </w:rPr>
              <w:t xml:space="preserve"> Active DeFi loans are about 8% of stablecoin supply (company data), and demand is cyclical.</w:t>
            </w:r>
          </w:p>
          <w:p>
            <w:pPr>
              <w:pStyle w:val="ListParagraph"/>
              <w:numPr>
                <w:ilvl w:val="0"/>
                <w:numId w:val="2"/>
              </w:numPr>
              <w:spacing w:after="40"/>
            </w:pPr>
            <w:r>
              <w:rPr>
                <w:rFonts w:ascii="Times New Roman" w:cs="Times New Roman" w:eastAsia="Times New Roman" w:hAnsi="Times New Roman"/>
                <w:b/>
                <w:bCs/>
                <w:sz w:val="22"/>
                <w:szCs w:val="22"/>
              </w:rPr>
              <w:t xml:space="preserve">Loss-absorbing capital.</w:t>
            </w:r>
            <w:r>
              <w:rPr>
                <w:rFonts w:ascii="Times New Roman" w:cs="Times New Roman" w:eastAsia="Times New Roman" w:hAnsi="Times New Roman"/>
                <w:sz w:val="22"/>
                <w:szCs w:val="22"/>
              </w:rPr>
              <w:t xml:space="preserve"> Lotus’s riskier tiers need lenders willing to take that risk, and Lotus provides no first-loss layer, backstop or capital of its own.</w:t>
            </w:r>
          </w:p>
          <w:p>
            <w:pPr>
              <w:pStyle w:val="ListParagraph"/>
              <w:numPr>
                <w:ilvl w:val="0"/>
                <w:numId w:val="2"/>
              </w:numPr>
              <w:spacing w:after="40"/>
            </w:pPr>
            <w:r>
              <w:rPr>
                <w:rFonts w:ascii="Times New Roman" w:cs="Times New Roman" w:eastAsia="Times New Roman" w:hAnsi="Times New Roman"/>
                <w:b/>
                <w:bCs/>
                <w:sz w:val="22"/>
                <w:szCs w:val="22"/>
              </w:rPr>
              <w:t xml:space="preserve">Distribution.</w:t>
            </w:r>
          </w:p>
          <w:p>
            <w:pPr>
              <w:spacing w:after="60"/>
            </w:pPr>
            <w:r>
              <w:rPr>
                <w:rFonts w:ascii="Times New Roman" w:cs="Times New Roman" w:eastAsia="Times New Roman" w:hAnsi="Times New Roman"/>
                <w:sz w:val="22"/>
                <w:szCs w:val="22"/>
              </w:rPr>
              <w:t xml:space="preserve">Separate tiers can already be built from separate vaults: Coinbase offers two risk tiers on Morpho.</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Market size</w:t>
            </w:r>
          </w:p>
          <w:p>
            <w:pPr>
              <w:spacing w:after="0"/>
            </w:pPr>
            <w:r>
              <w:rPr>
                <w:rFonts w:ascii="Times New Roman" w:cs="Times New Roman" w:eastAsia="Times New Roman" w:hAnsi="Times New Roman"/>
                <w:i/>
                <w:iCs/>
                <w:color w:val="595959"/>
                <w:sz w:val="20"/>
                <w:szCs w:val="20"/>
              </w:rPr>
              <w:t xml:space="preserve">Rough estimate: # of customers × price per year.</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Revenue = loans outstanding × credit spread × fee.</w:t>
            </w:r>
            <w:r>
              <w:rPr>
                <w:rFonts w:ascii="Times New Roman" w:cs="Times New Roman" w:eastAsia="Times New Roman" w:hAnsi="Times New Roman"/>
                <w:sz w:val="22"/>
                <w:szCs w:val="22"/>
              </w:rPr>
              <w:t xml:space="preserve"> The fee applies to Lotus’s credit-spread interest, not to the Treasury base yield inside LotusUSD.</w:t>
            </w:r>
          </w:p>
          <w:p>
            <w:pPr>
              <w:pStyle w:val="ListParagraph"/>
              <w:numPr>
                <w:ilvl w:val="0"/>
                <w:numId w:val="2"/>
              </w:numPr>
              <w:spacing w:after="40"/>
            </w:pPr>
            <w:r>
              <w:rPr>
                <w:rFonts w:ascii="Times New Roman" w:cs="Times New Roman" w:eastAsia="Times New Roman" w:hAnsi="Times New Roman"/>
                <w:sz w:val="22"/>
                <w:szCs w:val="22"/>
              </w:rPr>
              <w:t xml:space="preserve">Assumptions: credit spread of 2–3% a year and a 10–15% fee. Lotus then earns about 0.2–0.45% of loans outstanding per year.</w:t>
            </w:r>
          </w:p>
          <w:p>
            <w:pPr>
              <w:pStyle w:val="ListParagraph"/>
              <w:numPr>
                <w:ilvl w:val="0"/>
                <w:numId w:val="2"/>
              </w:numPr>
              <w:spacing w:after="40"/>
            </w:pPr>
            <w:r>
              <w:rPr>
                <w:rFonts w:ascii="Times New Roman" w:cs="Times New Roman" w:eastAsia="Times New Roman" w:hAnsi="Times New Roman"/>
                <w:b/>
                <w:bCs/>
                <w:sz w:val="22"/>
                <w:szCs w:val="22"/>
              </w:rPr>
              <w:t xml:space="preserve">$1B of loans ≈ $2–4.5M of revenue a year; $5B ≈ $10–22M.</w:t>
            </w:r>
          </w:p>
          <w:p>
            <w:pPr>
              <w:spacing w:after="60"/>
            </w:pPr>
            <w:r>
              <w:rPr>
                <w:rFonts w:ascii="Times New Roman" w:cs="Times New Roman" w:eastAsia="Times New Roman" w:hAnsi="Times New Roman"/>
                <w:b/>
                <w:bCs/>
                <w:sz w:val="22"/>
                <w:szCs w:val="22"/>
              </w:rPr>
              <w:t xml:space="preserve">Total market.</w:t>
            </w:r>
            <w:r>
              <w:rPr>
                <w:rFonts w:ascii="Times New Roman" w:cs="Times New Roman" w:eastAsia="Times New Roman" w:hAnsi="Times New Roman"/>
                <w:sz w:val="22"/>
                <w:szCs w:val="22"/>
              </w:rPr>
              <w:t xml:space="preserve"> Active DeFi loans are about $26.5B (company data citing public trackers). If every DeFi loan paid this fee, the pool would be about $50–120M a year.</w:t>
            </w:r>
          </w:p>
          <w:p>
            <w:pPr>
              <w:spacing w:after="60"/>
            </w:pPr>
            <w:r>
              <w:rPr>
                <w:rFonts w:ascii="Times New Roman" w:cs="Times New Roman" w:eastAsia="Times New Roman" w:hAnsi="Times New Roman"/>
                <w:b/>
                <w:bCs/>
                <w:sz w:val="22"/>
                <w:szCs w:val="22"/>
              </w:rPr>
              <w:t xml:space="preserve">Realistic share.</w:t>
            </w:r>
            <w:r>
              <w:rPr>
                <w:rFonts w:ascii="Times New Roman" w:cs="Times New Roman" w:eastAsia="Times New Roman" w:hAnsi="Times New Roman"/>
                <w:sz w:val="22"/>
                <w:szCs w:val="22"/>
              </w:rPr>
              <w:t xml:space="preserve"> Capturing 5–10% of loans would mean $1.3–2.7B of loans and about $3–12M of revenue.</w:t>
            </w:r>
          </w:p>
          <w:p>
            <w:pPr>
              <w:spacing w:after="60"/>
            </w:pPr>
            <w:r>
              <w:rPr>
                <w:rFonts w:ascii="Times New Roman" w:cs="Times New Roman" w:eastAsia="Times New Roman" w:hAnsi="Times New Roman"/>
                <w:b/>
                <w:bCs/>
                <w:sz w:val="22"/>
                <w:szCs w:val="22"/>
              </w:rPr>
              <w:t xml:space="preserve">Customers × price view.</w:t>
            </w:r>
            <w:r>
              <w:rPr>
                <w:rFonts w:ascii="Times New Roman" w:cs="Times New Roman" w:eastAsia="Times New Roman" w:hAnsi="Times New Roman"/>
                <w:sz w:val="22"/>
                <w:szCs w:val="22"/>
              </w:rPr>
              <w:t xml:space="preserve"> Fewer than 60 curators manage about $7–8B of curated vault deposits, and the top 3 manage about 75% of it. The customer count is small and concentrated.</w:t>
            </w:r>
          </w:p>
          <w:p>
            <w:pPr>
              <w:spacing w:after="60"/>
            </w:pPr>
            <w:r>
              <w:rPr>
                <w:rFonts w:ascii="Times New Roman" w:cs="Times New Roman" w:eastAsia="Times New Roman" w:hAnsi="Times New Roman"/>
                <w:b/>
                <w:bCs/>
                <w:sz w:val="22"/>
                <w:szCs w:val="22"/>
              </w:rPr>
              <w:t xml:space="preserve">Upside cases:</w:t>
            </w:r>
          </w:p>
          <w:p>
            <w:pPr>
              <w:pStyle w:val="ListParagraph"/>
              <w:numPr>
                <w:ilvl w:val="0"/>
                <w:numId w:val="2"/>
              </w:numPr>
              <w:spacing w:after="40"/>
            </w:pPr>
            <w:r>
              <w:rPr>
                <w:rFonts w:ascii="Times New Roman" w:cs="Times New Roman" w:eastAsia="Times New Roman" w:hAnsi="Times New Roman"/>
                <w:sz w:val="22"/>
                <w:szCs w:val="22"/>
              </w:rPr>
              <w:t xml:space="preserve">tokenized real-world assets as collateral;</w:t>
            </w:r>
          </w:p>
          <w:p>
            <w:pPr>
              <w:pStyle w:val="ListParagraph"/>
              <w:numPr>
                <w:ilvl w:val="0"/>
                <w:numId w:val="2"/>
              </w:numPr>
              <w:spacing w:after="40"/>
            </w:pPr>
            <w:r>
              <w:rPr>
                <w:rFonts w:ascii="Times New Roman" w:cs="Times New Roman" w:eastAsia="Times New Roman" w:hAnsi="Times New Roman"/>
                <w:sz w:val="22"/>
                <w:szCs w:val="22"/>
              </w:rPr>
              <w:t xml:space="preserve">pulling leverage demand from perpetual futures;</w:t>
            </w:r>
          </w:p>
          <w:p>
            <w:pPr>
              <w:pStyle w:val="ListParagraph"/>
              <w:numPr>
                <w:ilvl w:val="0"/>
                <w:numId w:val="2"/>
              </w:numPr>
              <w:spacing w:after="40"/>
            </w:pPr>
            <w:r>
              <w:rPr>
                <w:rFonts w:ascii="Times New Roman" w:cs="Times New Roman" w:eastAsia="Times New Roman" w:hAnsi="Times New Roman"/>
                <w:sz w:val="22"/>
                <w:szCs w:val="22"/>
              </w:rPr>
              <w:t xml:space="preserve">a token, which is how most DeFi lending protocols have created equity-like value.</w:t>
            </w:r>
          </w:p>
          <w:p>
            <w:pPr>
              <w:spacing w:after="60"/>
            </w:pPr>
            <w:r>
              <w:rPr>
                <w:rFonts w:ascii="Times New Roman" w:cs="Times New Roman" w:eastAsia="Times New Roman" w:hAnsi="Times New Roman"/>
                <w:sz w:val="22"/>
                <w:szCs w:val="22"/>
              </w:rPr>
              <w:t xml:space="preserve">Lotus has disclosed no token plans.</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Competition</w:t>
            </w:r>
          </w:p>
          <w:p>
            <w:pPr>
              <w:spacing w:after="0"/>
            </w:pPr>
            <w:r>
              <w:rPr>
                <w:rFonts w:ascii="Times New Roman" w:cs="Times New Roman" w:eastAsia="Times New Roman" w:hAnsi="Times New Roman"/>
                <w:i/>
                <w:iCs/>
                <w:color w:val="595959"/>
                <w:sz w:val="20"/>
                <w:szCs w:val="20"/>
              </w:rPr>
              <w:t xml:space="preserve">Who else solves this? What makes this company different?</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pStyle w:val="ListParagraph"/>
              <w:numPr>
                <w:ilvl w:val="0"/>
                <w:numId w:val="2"/>
              </w:numPr>
              <w:spacing w:after="40"/>
            </w:pPr>
            <w:r>
              <w:rPr>
                <w:rFonts w:ascii="Times New Roman" w:cs="Times New Roman" w:eastAsia="Times New Roman" w:hAnsi="Times New Roman"/>
                <w:b/>
                <w:bCs/>
                <w:sz w:val="22"/>
                <w:szCs w:val="22"/>
              </w:rPr>
              <w:t xml:space="preserve">Morpho</w:t>
            </w:r>
            <w:r>
              <w:rPr>
                <w:rFonts w:ascii="Times New Roman" w:cs="Times New Roman" w:eastAsia="Times New Roman" w:hAnsi="Times New Roman"/>
                <w:sz w:val="22"/>
                <w:szCs w:val="22"/>
              </w:rPr>
              <w:t xml:space="preserve">: the closest competitor. Separate markets plus outside vault managers. About $11.5B in total value locked and $5.6B in loans (DefiLlama, Oct 5, 2026). Raised $175M (a16z crypto, Paradigm, Ribbit). Powers Coinbase’s lending products. Lotus also uses Morpho’s vault code unchanged.</w:t>
            </w:r>
          </w:p>
          <w:p>
            <w:pPr>
              <w:pStyle w:val="ListParagraph"/>
              <w:numPr>
                <w:ilvl w:val="0"/>
                <w:numId w:val="2"/>
              </w:numPr>
              <w:spacing w:after="40"/>
            </w:pPr>
            <w:r>
              <w:rPr>
                <w:rFonts w:ascii="Times New Roman" w:cs="Times New Roman" w:eastAsia="Times New Roman" w:hAnsi="Times New Roman"/>
                <w:b/>
                <w:bCs/>
                <w:sz w:val="22"/>
                <w:szCs w:val="22"/>
              </w:rPr>
              <w:t xml:space="preserve">Aave</w:t>
            </w:r>
            <w:r>
              <w:rPr>
                <w:rFonts w:ascii="Times New Roman" w:cs="Times New Roman" w:eastAsia="Times New Roman" w:hAnsi="Times New Roman"/>
                <w:sz w:val="22"/>
                <w:szCs w:val="22"/>
              </w:rPr>
              <w:t xml:space="preserve">: the largest lender; one shared pool; its new version adds risk premiums set by governance.</w:t>
            </w:r>
          </w:p>
          <w:p>
            <w:pPr>
              <w:pStyle w:val="ListParagraph"/>
              <w:numPr>
                <w:ilvl w:val="0"/>
                <w:numId w:val="2"/>
              </w:numPr>
              <w:spacing w:after="40"/>
            </w:pPr>
            <w:r>
              <w:rPr>
                <w:rFonts w:ascii="Times New Roman" w:cs="Times New Roman" w:eastAsia="Times New Roman" w:hAnsi="Times New Roman"/>
                <w:b/>
                <w:bCs/>
                <w:sz w:val="22"/>
                <w:szCs w:val="22"/>
              </w:rPr>
              <w:t xml:space="preserve">Others</w:t>
            </w:r>
            <w:r>
              <w:rPr>
                <w:rFonts w:ascii="Times New Roman" w:cs="Times New Roman" w:eastAsia="Times New Roman" w:hAnsi="Times New Roman"/>
                <w:sz w:val="22"/>
                <w:szCs w:val="22"/>
              </w:rPr>
              <w:t xml:space="preserve">: Euler, Spark (low rates supported by Sky), Fluid and Compound.</w:t>
            </w:r>
          </w:p>
          <w:p>
            <w:pPr>
              <w:pStyle w:val="ListParagraph"/>
              <w:numPr>
                <w:ilvl w:val="0"/>
                <w:numId w:val="2"/>
              </w:numPr>
              <w:spacing w:after="40"/>
            </w:pPr>
            <w:r>
              <w:rPr>
                <w:rFonts w:ascii="Times New Roman" w:cs="Times New Roman" w:eastAsia="Times New Roman" w:hAnsi="Times New Roman"/>
                <w:b/>
                <w:bCs/>
                <w:sz w:val="22"/>
                <w:szCs w:val="22"/>
              </w:rPr>
              <w:t xml:space="preserve">Substitutes</w:t>
            </w:r>
            <w:r>
              <w:rPr>
                <w:rFonts w:ascii="Times New Roman" w:cs="Times New Roman" w:eastAsia="Times New Roman" w:hAnsi="Times New Roman"/>
                <w:sz w:val="22"/>
                <w:szCs w:val="22"/>
              </w:rPr>
              <w:t xml:space="preserve">: separate vaults at different risk levels; perpetual futures for leverage; centralized crypto lenders.</w:t>
            </w:r>
          </w:p>
          <w:p>
            <w:pPr>
              <w:spacing w:after="60"/>
            </w:pPr>
            <w:r>
              <w:rPr>
                <w:rFonts w:ascii="Times New Roman" w:cs="Times New Roman" w:eastAsia="Times New Roman" w:hAnsi="Times New Roman"/>
                <w:b/>
                <w:bCs/>
                <w:sz w:val="22"/>
                <w:szCs w:val="22"/>
              </w:rPr>
              <w:t xml:space="preserve">Lotus’s differences:</w:t>
            </w:r>
          </w:p>
          <w:p>
            <w:pPr>
              <w:pStyle w:val="ListParagraph"/>
              <w:numPr>
                <w:ilvl w:val="0"/>
                <w:numId w:val="2"/>
              </w:numPr>
              <w:spacing w:after="40"/>
            </w:pPr>
            <w:r>
              <w:rPr>
                <w:rFonts w:ascii="Times New Roman" w:cs="Times New Roman" w:eastAsia="Times New Roman" w:hAnsi="Times New Roman"/>
                <w:sz w:val="22"/>
                <w:szCs w:val="22"/>
              </w:rPr>
              <w:t xml:space="preserve">several risk tiers that share one pool of liquidity;</w:t>
            </w:r>
          </w:p>
          <w:p>
            <w:pPr>
              <w:pStyle w:val="ListParagraph"/>
              <w:numPr>
                <w:ilvl w:val="0"/>
                <w:numId w:val="2"/>
              </w:numPr>
              <w:spacing w:after="40"/>
            </w:pPr>
            <w:r>
              <w:rPr>
                <w:rFonts w:ascii="Times New Roman" w:cs="Times New Roman" w:eastAsia="Times New Roman" w:hAnsi="Times New Roman"/>
                <w:sz w:val="22"/>
                <w:szCs w:val="22"/>
              </w:rPr>
              <w:t xml:space="preserve">a reserve token that pays Treasury yield on unlent cash;</w:t>
            </w:r>
          </w:p>
          <w:p>
            <w:pPr>
              <w:pStyle w:val="ListParagraph"/>
              <w:numPr>
                <w:ilvl w:val="0"/>
                <w:numId w:val="2"/>
              </w:numPr>
              <w:spacing w:after="40"/>
            </w:pPr>
            <w:r>
              <w:rPr>
                <w:rFonts w:ascii="Times New Roman" w:cs="Times New Roman" w:eastAsia="Times New Roman" w:hAnsi="Times New Roman"/>
                <w:sz w:val="22"/>
                <w:szCs w:val="22"/>
              </w:rPr>
              <w:t xml:space="preserve">third-party risk ratings built into every tier.</w:t>
            </w:r>
          </w:p>
          <w:p>
            <w:pPr>
              <w:spacing w:after="60"/>
            </w:pPr>
            <w:r>
              <w:rPr>
                <w:rFonts w:ascii="Times New Roman" w:cs="Times New Roman" w:eastAsia="Times New Roman" w:hAnsi="Times New Roman"/>
                <w:b/>
                <w:bCs/>
                <w:sz w:val="22"/>
                <w:szCs w:val="22"/>
              </w:rPr>
              <w:t xml:space="preserve">Our view.</w:t>
            </w:r>
            <w:r>
              <w:rPr>
                <w:rFonts w:ascii="Times New Roman" w:cs="Times New Roman" w:eastAsia="Times New Roman" w:hAnsi="Times New Roman"/>
                <w:sz w:val="22"/>
                <w:szCs w:val="22"/>
              </w:rPr>
              <w:t xml:space="preserve"> These are product features, not a durable advantage:</w:t>
            </w:r>
          </w:p>
          <w:p>
            <w:pPr>
              <w:pStyle w:val="ListParagraph"/>
              <w:numPr>
                <w:ilvl w:val="0"/>
                <w:numId w:val="2"/>
              </w:numPr>
              <w:spacing w:after="40"/>
            </w:pPr>
            <w:r>
              <w:rPr>
                <w:rFonts w:ascii="Times New Roman" w:cs="Times New Roman" w:eastAsia="Times New Roman" w:hAnsi="Times New Roman"/>
                <w:sz w:val="22"/>
                <w:szCs w:val="22"/>
              </w:rPr>
              <w:t xml:space="preserve">Lending winners have differentiated on cost of capital, distribution, liquidity and access to collateral others can’t serve.</w:t>
            </w:r>
          </w:p>
          <w:p>
            <w:pPr>
              <w:pStyle w:val="ListParagraph"/>
              <w:numPr>
                <w:ilvl w:val="0"/>
                <w:numId w:val="2"/>
              </w:numPr>
              <w:spacing w:after="40"/>
            </w:pPr>
            <w:r>
              <w:rPr>
                <w:rFonts w:ascii="Times New Roman" w:cs="Times New Roman" w:eastAsia="Times New Roman" w:hAnsi="Times New Roman"/>
                <w:sz w:val="22"/>
                <w:szCs w:val="22"/>
              </w:rPr>
              <w:t xml:space="preserve">Incumbents could add tiering.</w:t>
            </w:r>
          </w:p>
          <w:p>
            <w:pPr>
              <w:pStyle w:val="ListParagraph"/>
              <w:numPr>
                <w:ilvl w:val="0"/>
                <w:numId w:val="2"/>
              </w:numPr>
              <w:spacing w:after="40"/>
            </w:pPr>
            <w:r>
              <w:rPr>
                <w:rFonts w:ascii="Times New Roman" w:cs="Times New Roman" w:eastAsia="Times New Roman" w:hAnsi="Times New Roman"/>
                <w:sz w:val="22"/>
                <w:szCs w:val="22"/>
              </w:rPr>
              <w:t xml:space="preserve">The added complexity (shared losses across tiers, withdrawal limits, a custodial reserve token) raises the diligence burden for the allocators Lotus is targeting.</w:t>
            </w:r>
          </w:p>
          <w:p>
            <w:pPr>
              <w:pStyle w:val="ListParagraph"/>
              <w:numPr>
                <w:ilvl w:val="0"/>
                <w:numId w:val="2"/>
              </w:numPr>
              <w:spacing w:after="40"/>
            </w:pPr>
            <w:r>
              <w:rPr>
                <w:rFonts w:ascii="Times New Roman" w:cs="Times New Roman" w:eastAsia="Times New Roman" w:hAnsi="Times New Roman"/>
                <w:sz w:val="22"/>
                <w:szCs w:val="22"/>
              </w:rPr>
              <w:t xml:space="preserve">The three largest vault managers (Steakhouse, Sentora, Gauntlet) are not publicly committed.</w:t>
            </w:r>
          </w:p>
        </w:tc>
      </w:tr>
    </w:tbl>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4. Progress</w:t>
      </w:r>
    </w:p>
    <w:p>
      <w:pPr>
        <w:keepNext/>
        <w:spacing w:after="100" w:before="40"/>
      </w:pPr>
      <w:r>
        <w:rPr>
          <w:rFonts w:ascii="Times New Roman" w:cs="Times New Roman" w:eastAsia="Times New Roman" w:hAnsi="Times New Roman"/>
          <w:i/>
          <w:iCs/>
          <w:sz w:val="22"/>
          <w:szCs w:val="22"/>
        </w:rPr>
        <w:t xml:space="preserve">Is there early proof it’s working?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What to look at</w:t>
            </w:r>
          </w:p>
        </w:tc>
        <w:tc>
          <w:tcPr>
            <w:tcW w:type="dxa" w:w="653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Your notes</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Early signals</w:t>
            </w:r>
          </w:p>
          <w:p>
            <w:pPr>
              <w:spacing w:after="0"/>
            </w:pPr>
            <w:r>
              <w:rPr>
                <w:rFonts w:ascii="Times New Roman" w:cs="Times New Roman" w:eastAsia="Times New Roman" w:hAnsi="Times New Roman"/>
                <w:i/>
                <w:iCs/>
                <w:color w:val="595959"/>
                <w:sz w:val="20"/>
                <w:szCs w:val="20"/>
              </w:rPr>
              <w:t xml:space="preserve">Waitlist, pilots, users, partnerships? (No revenue expected yet.)</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pStyle w:val="ListParagraph"/>
              <w:numPr>
                <w:ilvl w:val="0"/>
                <w:numId w:val="2"/>
              </w:numPr>
              <w:spacing w:after="40"/>
            </w:pPr>
            <w:r>
              <w:rPr>
                <w:rFonts w:ascii="Times New Roman" w:cs="Times New Roman" w:eastAsia="Times New Roman" w:hAnsi="Times New Roman"/>
                <w:b/>
                <w:bCs/>
                <w:sz w:val="22"/>
                <w:szCs w:val="22"/>
              </w:rPr>
              <w:t xml:space="preserve">Live:</w:t>
            </w:r>
            <w:r>
              <w:rPr>
                <w:rFonts w:ascii="Times New Roman" w:cs="Times New Roman" w:eastAsia="Times New Roman" w:hAnsi="Times New Roman"/>
                <w:sz w:val="22"/>
                <w:szCs w:val="22"/>
              </w:rPr>
              <w:t xml:space="preserve"> testnet and API (private access). Loanscape is a free public tool comparing loan terms across DeFi lenders.</w:t>
            </w:r>
          </w:p>
          <w:p>
            <w:pPr>
              <w:pStyle w:val="ListParagraph"/>
              <w:numPr>
                <w:ilvl w:val="0"/>
                <w:numId w:val="2"/>
              </w:numPr>
              <w:spacing w:after="40"/>
            </w:pPr>
            <w:r>
              <w:rPr>
                <w:rFonts w:ascii="Times New Roman" w:cs="Times New Roman" w:eastAsia="Times New Roman" w:hAnsi="Times New Roman"/>
                <w:b/>
                <w:bCs/>
                <w:sz w:val="22"/>
                <w:szCs w:val="22"/>
              </w:rPr>
              <w:t xml:space="preserve">Pilots:</w:t>
            </w:r>
            <w:r>
              <w:rPr>
                <w:rFonts w:ascii="Times New Roman" w:cs="Times New Roman" w:eastAsia="Times New Roman" w:hAnsi="Times New Roman"/>
                <w:sz w:val="22"/>
                <w:szCs w:val="22"/>
              </w:rPr>
              <w:t xml:space="preserve"> testnet sessions with 20+ participants from teams including Coinbase, Uniswap Foundation and Superform (company data).</w:t>
            </w:r>
          </w:p>
          <w:p>
            <w:pPr>
              <w:pStyle w:val="ListParagraph"/>
              <w:numPr>
                <w:ilvl w:val="0"/>
                <w:numId w:val="2"/>
              </w:numPr>
              <w:spacing w:after="40"/>
            </w:pPr>
            <w:r>
              <w:rPr>
                <w:rFonts w:ascii="Times New Roman" w:cs="Times New Roman" w:eastAsia="Times New Roman" w:hAnsi="Times New Roman"/>
                <w:b/>
                <w:bCs/>
                <w:sz w:val="22"/>
                <w:szCs w:val="22"/>
              </w:rPr>
              <w:t xml:space="preserve">Partners:</w:t>
            </w:r>
            <w:r>
              <w:rPr>
                <w:rFonts w:ascii="Times New Roman" w:cs="Times New Roman" w:eastAsia="Times New Roman" w:hAnsi="Times New Roman"/>
                <w:sz w:val="22"/>
                <w:szCs w:val="22"/>
              </w:rPr>
              <w:t xml:space="preserve"> vault managers Block Analitica, Nonce Capital and Maven 11; Cicada (RWA credit); Credora (ratings); WisdomTree and Coinbase Prime (reserve); IPOR and Superform (BTC/ETH carry vaults); design partners including FalconX and Bitwise.</w:t>
            </w:r>
          </w:p>
          <w:p>
            <w:pPr>
              <w:pStyle w:val="ListParagraph"/>
              <w:numPr>
                <w:ilvl w:val="0"/>
                <w:numId w:val="2"/>
              </w:numPr>
              <w:spacing w:after="40"/>
            </w:pPr>
            <w:r>
              <w:rPr>
                <w:rFonts w:ascii="Times New Roman" w:cs="Times New Roman" w:eastAsia="Times New Roman" w:hAnsi="Times New Roman"/>
                <w:b/>
                <w:bCs/>
                <w:sz w:val="22"/>
                <w:szCs w:val="22"/>
              </w:rPr>
              <w:t xml:space="preserve">Waitlist:</w:t>
            </w:r>
            <w:r>
              <w:rPr>
                <w:rFonts w:ascii="Times New Roman" w:cs="Times New Roman" w:eastAsia="Times New Roman" w:hAnsi="Times New Roman"/>
                <w:sz w:val="22"/>
                <w:szCs w:val="22"/>
              </w:rPr>
              <w:t xml:space="preserve"> pre-deposit signups are open. Whitelist deposits start Oct 26 and public deposits Nov 5. No signup or commitment figures disclosed.</w:t>
            </w:r>
          </w:p>
          <w:p>
            <w:pPr>
              <w:pStyle w:val="ListParagraph"/>
              <w:numPr>
                <w:ilvl w:val="0"/>
                <w:numId w:val="2"/>
              </w:numPr>
              <w:spacing w:after="40"/>
            </w:pPr>
            <w:r>
              <w:rPr>
                <w:rFonts w:ascii="Times New Roman" w:cs="Times New Roman" w:eastAsia="Times New Roman" w:hAnsi="Times New Roman"/>
                <w:b/>
                <w:bCs/>
                <w:sz w:val="22"/>
                <w:szCs w:val="22"/>
              </w:rPr>
              <w:t xml:space="preserve">Audience:</w:t>
            </w:r>
            <w:r>
              <w:rPr>
                <w:rFonts w:ascii="Times New Roman" w:cs="Times New Roman" w:eastAsia="Times New Roman" w:hAnsi="Times New Roman"/>
                <w:sz w:val="22"/>
                <w:szCs w:val="22"/>
              </w:rPr>
              <w:t xml:space="preserve"> about 770 X followers and 270 LinkedIn followers; posts draw roughly 250–4,000 views.</w:t>
            </w:r>
          </w:p>
          <w:p>
            <w:pPr>
              <w:spacing w:after="60"/>
            </w:pPr>
            <w:r>
              <w:rPr>
                <w:rFonts w:ascii="Times New Roman" w:cs="Times New Roman" w:eastAsia="Times New Roman" w:hAnsi="Times New Roman"/>
                <w:b/>
                <w:bCs/>
                <w:sz w:val="22"/>
                <w:szCs w:val="22"/>
              </w:rPr>
              <w:t xml:space="preserve">Assessment.</w:t>
            </w:r>
            <w:r>
              <w:rPr>
                <w:rFonts w:ascii="Times New Roman" w:cs="Times New Roman" w:eastAsia="Times New Roman" w:hAnsi="Times New Roman"/>
                <w:sz w:val="22"/>
                <w:szCs w:val="22"/>
              </w:rPr>
              <w:t xml:space="preserve"> The partnerships are real but mostly announcements; no committed capital has been disclosed. Pre-deposits are paid for with incentives. The meaningful signal will be outside deposits and borrowing that remain 60–90 days after incentives end.</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Product &amp; model</w:t>
            </w:r>
          </w:p>
          <w:p>
            <w:pPr>
              <w:spacing w:after="0"/>
            </w:pPr>
            <w:r>
              <w:rPr>
                <w:rFonts w:ascii="Times New Roman" w:cs="Times New Roman" w:eastAsia="Times New Roman" w:hAnsi="Times New Roman"/>
                <w:i/>
                <w:iCs/>
                <w:color w:val="595959"/>
                <w:sz w:val="20"/>
                <w:szCs w:val="20"/>
              </w:rPr>
              <w:t xml:space="preserve">What’s built so far? How will they make money?</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Built:</w:t>
            </w:r>
          </w:p>
          <w:p>
            <w:pPr>
              <w:pStyle w:val="ListParagraph"/>
              <w:numPr>
                <w:ilvl w:val="0"/>
                <w:numId w:val="2"/>
              </w:numPr>
              <w:spacing w:after="40"/>
            </w:pPr>
            <w:r>
              <w:rPr>
                <w:rFonts w:ascii="Times New Roman" w:cs="Times New Roman" w:eastAsia="Times New Roman" w:hAnsi="Times New Roman"/>
                <w:sz w:val="22"/>
                <w:szCs w:val="22"/>
              </w:rPr>
              <w:t xml:space="preserve">core lending contracts, audited by 0x52 and Cyfrin, with formal verification. Cyfrin recommends a follow-up review before deployment because fixes changed core accounting; the report is not yet published;</w:t>
            </w:r>
          </w:p>
          <w:p>
            <w:pPr>
              <w:pStyle w:val="ListParagraph"/>
              <w:numPr>
                <w:ilvl w:val="0"/>
                <w:numId w:val="2"/>
              </w:numPr>
              <w:spacing w:after="40"/>
            </w:pPr>
            <w:r>
              <w:rPr>
                <w:rFonts w:ascii="Times New Roman" w:cs="Times New Roman" w:eastAsia="Times New Roman" w:hAnsi="Times New Roman"/>
                <w:sz w:val="22"/>
                <w:szCs w:val="22"/>
              </w:rPr>
              <w:t xml:space="preserve">vaults using Morpho’s vault code;</w:t>
            </w:r>
          </w:p>
          <w:p>
            <w:pPr>
              <w:pStyle w:val="ListParagraph"/>
              <w:numPr>
                <w:ilvl w:val="0"/>
                <w:numId w:val="2"/>
              </w:numPr>
              <w:spacing w:after="40"/>
            </w:pPr>
            <w:r>
              <w:rPr>
                <w:rFonts w:ascii="Times New Roman" w:cs="Times New Roman" w:eastAsia="Times New Roman" w:hAnsi="Times New Roman"/>
                <w:sz w:val="22"/>
                <w:szCs w:val="22"/>
              </w:rPr>
              <w:t xml:space="preserve">the LotusUSD reserve token;</w:t>
            </w:r>
          </w:p>
          <w:p>
            <w:pPr>
              <w:pStyle w:val="ListParagraph"/>
              <w:numPr>
                <w:ilvl w:val="0"/>
                <w:numId w:val="2"/>
              </w:numPr>
              <w:spacing w:after="40"/>
            </w:pPr>
            <w:r>
              <w:rPr>
                <w:rFonts w:ascii="Times New Roman" w:cs="Times New Roman" w:eastAsia="Times New Roman" w:hAnsi="Times New Roman"/>
                <w:sz w:val="22"/>
                <w:szCs w:val="22"/>
              </w:rPr>
              <w:t xml:space="preserve">a web app and API;</w:t>
            </w:r>
          </w:p>
          <w:p>
            <w:pPr>
              <w:pStyle w:val="ListParagraph"/>
              <w:numPr>
                <w:ilvl w:val="0"/>
                <w:numId w:val="2"/>
              </w:numPr>
              <w:spacing w:after="40"/>
            </w:pPr>
            <w:r>
              <w:rPr>
                <w:rFonts w:ascii="Times New Roman" w:cs="Times New Roman" w:eastAsia="Times New Roman" w:hAnsi="Times New Roman"/>
                <w:sz w:val="22"/>
                <w:szCs w:val="22"/>
              </w:rPr>
              <w:t xml:space="preserve">Loanscape;</w:t>
            </w:r>
          </w:p>
          <w:p>
            <w:pPr>
              <w:pStyle w:val="ListParagraph"/>
              <w:numPr>
                <w:ilvl w:val="0"/>
                <w:numId w:val="2"/>
              </w:numPr>
              <w:spacing w:after="40"/>
            </w:pPr>
            <w:r>
              <w:rPr>
                <w:rFonts w:ascii="Times New Roman" w:cs="Times New Roman" w:eastAsia="Times New Roman" w:hAnsi="Times New Roman"/>
                <w:sz w:val="22"/>
                <w:szCs w:val="22"/>
              </w:rPr>
              <w:t xml:space="preserve">detailed public documentation.</w:t>
            </w:r>
          </w:p>
          <w:p>
            <w:pPr>
              <w:spacing w:after="60"/>
            </w:pPr>
            <w:r>
              <w:rPr>
                <w:rFonts w:ascii="Times New Roman" w:cs="Times New Roman" w:eastAsia="Times New Roman" w:hAnsi="Times New Roman"/>
                <w:b/>
                <w:bCs/>
                <w:sz w:val="22"/>
                <w:szCs w:val="22"/>
              </w:rPr>
              <w:t xml:space="preserve">Not yet:</w:t>
            </w:r>
            <w:r>
              <w:rPr>
                <w:rFonts w:ascii="Times New Roman" w:cs="Times New Roman" w:eastAsia="Times New Roman" w:hAnsi="Times New Roman"/>
                <w:sz w:val="22"/>
                <w:szCs w:val="22"/>
              </w:rPr>
              <w:t xml:space="preserve"> contracts are not deployed on mainnet; the code is private; launch markets (cbBTC/USDC, wstETH/USDC) have not been parameterized publicly.</w:t>
            </w:r>
          </w:p>
          <w:p>
            <w:pPr>
              <w:spacing w:after="60"/>
            </w:pPr>
            <w:r>
              <w:rPr>
                <w:rFonts w:ascii="Times New Roman" w:cs="Times New Roman" w:eastAsia="Times New Roman" w:hAnsi="Times New Roman"/>
                <w:b/>
                <w:bCs/>
                <w:sz w:val="22"/>
                <w:szCs w:val="22"/>
              </w:rPr>
              <w:t xml:space="preserve">Business model:</w:t>
            </w:r>
          </w:p>
          <w:p>
            <w:pPr>
              <w:pStyle w:val="ListParagraph"/>
              <w:numPr>
                <w:ilvl w:val="0"/>
                <w:numId w:val="2"/>
              </w:numPr>
              <w:spacing w:after="40"/>
            </w:pPr>
            <w:r>
              <w:rPr>
                <w:rFonts w:ascii="Times New Roman" w:cs="Times New Roman" w:eastAsia="Times New Roman" w:hAnsi="Times New Roman"/>
                <w:sz w:val="22"/>
                <w:szCs w:val="22"/>
              </w:rPr>
              <w:t xml:space="preserve">a protocol fee of up to 25% of the credit-spread interest lenders earn; the actual rate is not set;</w:t>
            </w:r>
          </w:p>
          <w:p>
            <w:pPr>
              <w:pStyle w:val="ListParagraph"/>
              <w:numPr>
                <w:ilvl w:val="0"/>
                <w:numId w:val="2"/>
              </w:numPr>
              <w:spacing w:after="40"/>
            </w:pPr>
            <w:r>
              <w:rPr>
                <w:rFonts w:ascii="Times New Roman" w:cs="Times New Roman" w:eastAsia="Times New Roman" w:hAnsi="Times New Roman"/>
                <w:sz w:val="22"/>
                <w:szCs w:val="22"/>
              </w:rPr>
              <w:t xml:space="preserve">a flash-loan fee, default 0;</w:t>
            </w:r>
          </w:p>
          <w:p>
            <w:pPr>
              <w:pStyle w:val="ListParagraph"/>
              <w:numPr>
                <w:ilvl w:val="0"/>
                <w:numId w:val="2"/>
              </w:numPr>
              <w:spacing w:after="40"/>
            </w:pPr>
            <w:r>
              <w:rPr>
                <w:rFonts w:ascii="Times New Roman" w:cs="Times New Roman" w:eastAsia="Times New Roman" w:hAnsi="Times New Roman"/>
                <w:sz w:val="22"/>
                <w:szCs w:val="22"/>
              </w:rPr>
              <w:t xml:space="preserve">no fees on Lotus’s own vaults (Lotus One, BTC/ETH carry) at launch;</w:t>
            </w:r>
          </w:p>
          <w:p>
            <w:pPr>
              <w:pStyle w:val="ListParagraph"/>
              <w:numPr>
                <w:ilvl w:val="0"/>
                <w:numId w:val="2"/>
              </w:numPr>
              <w:spacing w:after="40"/>
            </w:pPr>
            <w:r>
              <w:rPr>
                <w:rFonts w:ascii="Times New Roman" w:cs="Times New Roman" w:eastAsia="Times New Roman" w:hAnsi="Times New Roman"/>
                <w:sz w:val="22"/>
                <w:szCs w:val="22"/>
              </w:rPr>
              <w:t xml:space="preserve">a reserve fee on LotusUSD is implied in the docs but undisclosed.</w:t>
            </w:r>
          </w:p>
          <w:p>
            <w:pPr>
              <w:spacing w:after="60"/>
            </w:pPr>
            <w:r>
              <w:rPr>
                <w:rFonts w:ascii="Times New Roman" w:cs="Times New Roman" w:eastAsia="Times New Roman" w:hAnsi="Times New Roman"/>
                <w:sz w:val="22"/>
                <w:szCs w:val="22"/>
              </w:rPr>
              <w:t xml:space="preserve">Lotus puts no capital at risk; all losses fall on lenders. Revenue depends entirely on loan volume, so the business is close to a marketplace with a small take rate.</w:t>
            </w:r>
          </w:p>
        </w:tc>
      </w:tr>
    </w:tbl>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5. Price</w:t>
      </w:r>
    </w:p>
    <w:p>
      <w:pPr>
        <w:keepNext/>
        <w:spacing w:after="100" w:before="40"/>
      </w:pPr>
      <w:r>
        <w:rPr>
          <w:rFonts w:ascii="Times New Roman" w:cs="Times New Roman" w:eastAsia="Times New Roman" w:hAnsi="Times New Roman"/>
          <w:i/>
          <w:iCs/>
          <w:sz w:val="22"/>
          <w:szCs w:val="22"/>
        </w:rPr>
        <w:t xml:space="preserve">Is the deal worth the risk?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What to look at</w:t>
            </w:r>
          </w:p>
        </w:tc>
        <w:tc>
          <w:tcPr>
            <w:tcW w:type="dxa" w:w="6536"/>
            <w:tcBorders>
              <w:top w:val="single" w:color="A6A6A6" w:sz="4"/>
              <w:left w:val="single" w:color="A6A6A6" w:sz="4"/>
              <w:bottom w:val="single" w:color="A6A6A6" w:sz="4"/>
              <w:right w:val="single" w:color="A6A6A6" w:sz="4"/>
            </w:tcBorders>
            <w:shd w:fill="F2F2F2" w:color="auto" w:val="clear"/>
            <w:tcMar>
              <w:top w:type="dxa" w:w="80"/>
              <w:left w:type="dxa" w:w="110"/>
              <w:bottom w:type="dxa" w:w="80"/>
              <w:right w:type="dxa" w:w="110"/>
            </w:tcMar>
          </w:tcPr>
          <w:p>
            <w:pPr>
              <w:spacing w:after="0"/>
            </w:pPr>
            <w:r>
              <w:rPr>
                <w:rFonts w:ascii="Times New Roman" w:cs="Times New Roman" w:eastAsia="Times New Roman" w:hAnsi="Times New Roman"/>
                <w:b/>
                <w:bCs/>
                <w:sz w:val="20"/>
                <w:szCs w:val="20"/>
              </w:rPr>
              <w:t xml:space="preserve">Your notes</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Valuation</w:t>
            </w:r>
          </w:p>
          <w:p>
            <w:pPr>
              <w:spacing w:after="0"/>
            </w:pPr>
            <w:r>
              <w:rPr>
                <w:rFonts w:ascii="Times New Roman" w:cs="Times New Roman" w:eastAsia="Times New Roman" w:hAnsi="Times New Roman"/>
                <w:i/>
                <w:iCs/>
                <w:color w:val="595959"/>
                <w:sz w:val="20"/>
                <w:szCs w:val="20"/>
              </w:rPr>
              <w:t xml:space="preserve">Is the price fair compared with similar startups at this stage?</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Unknown.</w:t>
            </w:r>
            <w:r>
              <w:rPr>
                <w:rFonts w:ascii="Times New Roman" w:cs="Times New Roman" w:eastAsia="Times New Roman" w:hAnsi="Times New Roman"/>
                <w:sz w:val="22"/>
                <w:szCs w:val="22"/>
              </w:rPr>
              <w:t xml:space="preserve"> No funding round, valuation or investor list is public. Tracxn lists no funding, and RootData’s investor page could not be accessed.</w:t>
            </w:r>
          </w:p>
          <w:p>
            <w:pPr>
              <w:spacing w:after="60"/>
            </w:pPr>
            <w:r>
              <w:rPr>
                <w:rFonts w:ascii="Times New Roman" w:cs="Times New Roman" w:eastAsia="Times New Roman" w:hAnsi="Times New Roman"/>
                <w:b/>
                <w:bCs/>
                <w:sz w:val="22"/>
                <w:szCs w:val="22"/>
              </w:rPr>
              <w:t xml:space="preserve">What a fair price would reflect:</w:t>
            </w:r>
            <w:r>
              <w:rPr>
                <w:rFonts w:ascii="Times New Roman" w:cs="Times New Roman" w:eastAsia="Times New Roman" w:hAnsi="Times New Roman"/>
                <w:sz w:val="22"/>
                <w:szCs w:val="22"/>
              </w:rPr>
              <w:t xml:space="preserve"> pre-launch and pre-revenue; a small team with no visible risk lead; a single-feature product competing with a well-funded incumbent. This should price as an early seed round, not a post-traction round.</w:t>
            </w:r>
          </w:p>
          <w:p>
            <w:pPr>
              <w:spacing w:after="60"/>
            </w:pPr>
            <w:r>
              <w:rPr>
                <w:rFonts w:ascii="Times New Roman" w:cs="Times New Roman" w:eastAsia="Times New Roman" w:hAnsi="Times New Roman"/>
                <w:b/>
                <w:bCs/>
                <w:sz w:val="22"/>
                <w:szCs w:val="22"/>
              </w:rPr>
              <w:t xml:space="preserve">Terms to ask for:</w:t>
            </w:r>
          </w:p>
          <w:p>
            <w:pPr>
              <w:pStyle w:val="ListParagraph"/>
              <w:numPr>
                <w:ilvl w:val="0"/>
                <w:numId w:val="2"/>
              </w:numPr>
              <w:spacing w:after="40"/>
            </w:pPr>
            <w:r>
              <w:rPr>
                <w:rFonts w:ascii="Times New Roman" w:cs="Times New Roman" w:eastAsia="Times New Roman" w:hAnsi="Times New Roman"/>
                <w:sz w:val="22"/>
                <w:szCs w:val="22"/>
              </w:rPr>
              <w:t xml:space="preserve">token rights (warrants or a side letter), since a token is the likely value-capture route in DeFi lending;</w:t>
            </w:r>
          </w:p>
          <w:p>
            <w:pPr>
              <w:pStyle w:val="ListParagraph"/>
              <w:numPr>
                <w:ilvl w:val="0"/>
                <w:numId w:val="2"/>
              </w:numPr>
              <w:spacing w:after="40"/>
            </w:pPr>
            <w:r>
              <w:rPr>
                <w:rFonts w:ascii="Times New Roman" w:cs="Times New Roman" w:eastAsia="Times New Roman" w:hAnsi="Times New Roman"/>
                <w:sz w:val="22"/>
                <w:szCs w:val="22"/>
              </w:rPr>
              <w:t xml:space="preserve">information rights on deposits, loans and fee revenue.</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Return potential</w:t>
            </w:r>
          </w:p>
          <w:p>
            <w:pPr>
              <w:spacing w:after="0"/>
            </w:pPr>
            <w:r>
              <w:rPr>
                <w:rFonts w:ascii="Times New Roman" w:cs="Times New Roman" w:eastAsia="Times New Roman" w:hAnsi="Times New Roman"/>
                <w:i/>
                <w:iCs/>
                <w:color w:val="595959"/>
                <w:sz w:val="20"/>
                <w:szCs w:val="20"/>
              </w:rPr>
              <w:t xml:space="preserve">Could this realistically return 10x? What would the company need to be worth?</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Illustration only.</w:t>
            </w:r>
            <w:r>
              <w:rPr>
                <w:rFonts w:ascii="Times New Roman" w:cs="Times New Roman" w:eastAsia="Times New Roman" w:hAnsi="Times New Roman"/>
                <w:sz w:val="22"/>
                <w:szCs w:val="22"/>
              </w:rPr>
              <w:t xml:space="preserve"> At a $25M entry valuation, a 10x needs a $250M outcome.</w:t>
            </w:r>
          </w:p>
          <w:p>
            <w:pPr>
              <w:pStyle w:val="ListParagraph"/>
              <w:numPr>
                <w:ilvl w:val="0"/>
                <w:numId w:val="2"/>
              </w:numPr>
              <w:spacing w:after="40"/>
            </w:pPr>
            <w:r>
              <w:rPr>
                <w:rFonts w:ascii="Times New Roman" w:cs="Times New Roman" w:eastAsia="Times New Roman" w:hAnsi="Times New Roman"/>
                <w:sz w:val="22"/>
                <w:szCs w:val="22"/>
              </w:rPr>
              <w:t xml:space="preserve">At about 25x revenue, that means about $10M of annual revenue.</w:t>
            </w:r>
          </w:p>
          <w:p>
            <w:pPr>
              <w:pStyle w:val="ListParagraph"/>
              <w:numPr>
                <w:ilvl w:val="0"/>
                <w:numId w:val="2"/>
              </w:numPr>
              <w:spacing w:after="40"/>
            </w:pPr>
            <w:r>
              <w:rPr>
                <w:rFonts w:ascii="Times New Roman" w:cs="Times New Roman" w:eastAsia="Times New Roman" w:hAnsi="Times New Roman"/>
                <w:sz w:val="22"/>
                <w:szCs w:val="22"/>
              </w:rPr>
              <w:t xml:space="preserve">Under the model above, that is roughly $2.5–5B of loans outstanding: 10–20% of all active DeFi loans today, or about half to all of Morpho’s current loan book.</w:t>
            </w:r>
          </w:p>
          <w:p>
            <w:pPr>
              <w:spacing w:after="60"/>
            </w:pPr>
            <w:r>
              <w:rPr>
                <w:rFonts w:ascii="Times New Roman" w:cs="Times New Roman" w:eastAsia="Times New Roman" w:hAnsi="Times New Roman"/>
                <w:b/>
                <w:bCs/>
                <w:sz w:val="22"/>
                <w:szCs w:val="22"/>
              </w:rPr>
              <w:t xml:space="preserve">Paths to that outcome:</w:t>
            </w:r>
          </w:p>
          <w:p>
            <w:pPr>
              <w:pStyle w:val="ListParagraph"/>
              <w:numPr>
                <w:ilvl w:val="0"/>
                <w:numId w:val="2"/>
              </w:numPr>
              <w:spacing w:after="40"/>
            </w:pPr>
            <w:r>
              <w:rPr>
                <w:rFonts w:ascii="Times New Roman" w:cs="Times New Roman" w:eastAsia="Times New Roman" w:hAnsi="Times New Roman"/>
                <w:sz w:val="22"/>
                <w:szCs w:val="22"/>
              </w:rPr>
              <w:t xml:space="preserve">winning a top-tier vault manager or a large distribution partner (an exchange or fintech);</w:t>
            </w:r>
          </w:p>
          <w:p>
            <w:pPr>
              <w:pStyle w:val="ListParagraph"/>
              <w:numPr>
                <w:ilvl w:val="0"/>
                <w:numId w:val="2"/>
              </w:numPr>
              <w:spacing w:after="40"/>
            </w:pPr>
            <w:r>
              <w:rPr>
                <w:rFonts w:ascii="Times New Roman" w:cs="Times New Roman" w:eastAsia="Times New Roman" w:hAnsi="Times New Roman"/>
                <w:sz w:val="22"/>
                <w:szCs w:val="22"/>
              </w:rPr>
              <w:t xml:space="preserve">becoming the default lender for a new collateral type such as tokenized assets;</w:t>
            </w:r>
          </w:p>
          <w:p>
            <w:pPr>
              <w:pStyle w:val="ListParagraph"/>
              <w:numPr>
                <w:ilvl w:val="0"/>
                <w:numId w:val="2"/>
              </w:numPr>
              <w:spacing w:after="40"/>
            </w:pPr>
            <w:r>
              <w:rPr>
                <w:rFonts w:ascii="Times New Roman" w:cs="Times New Roman" w:eastAsia="Times New Roman" w:hAnsi="Times New Roman"/>
                <w:sz w:val="22"/>
                <w:szCs w:val="22"/>
              </w:rPr>
              <w:t xml:space="preserve">a token valued well above protocol revenue;</w:t>
            </w:r>
          </w:p>
          <w:p>
            <w:pPr>
              <w:pStyle w:val="ListParagraph"/>
              <w:numPr>
                <w:ilvl w:val="0"/>
                <w:numId w:val="2"/>
              </w:numPr>
              <w:spacing w:after="40"/>
            </w:pPr>
            <w:r>
              <w:rPr>
                <w:rFonts w:ascii="Times New Roman" w:cs="Times New Roman" w:eastAsia="Times New Roman" w:hAnsi="Times New Roman"/>
                <w:sz w:val="22"/>
                <w:szCs w:val="22"/>
              </w:rPr>
              <w:t xml:space="preserve">acquisition by a larger lender, exchange or fintech.</w:t>
            </w:r>
          </w:p>
          <w:p>
            <w:pPr>
              <w:spacing w:after="60"/>
            </w:pPr>
            <w:r>
              <w:rPr>
                <w:rFonts w:ascii="Times New Roman" w:cs="Times New Roman" w:eastAsia="Times New Roman" w:hAnsi="Times New Roman"/>
                <w:b/>
                <w:bCs/>
                <w:sz w:val="22"/>
                <w:szCs w:val="22"/>
              </w:rPr>
              <w:t xml:space="preserve">Our view.</w:t>
            </w:r>
            <w:r>
              <w:rPr>
                <w:rFonts w:ascii="Times New Roman" w:cs="Times New Roman" w:eastAsia="Times New Roman" w:hAnsi="Times New Roman"/>
                <w:sz w:val="22"/>
                <w:szCs w:val="22"/>
              </w:rPr>
              <w:t xml:space="preserve"> Possible but not likely on the current evidence. The base case is a niche venue with low-single-digit millions in revenue.</w:t>
            </w:r>
          </w:p>
        </w:tc>
      </w:tr>
      <w:tr>
        <w:trPr>
          <w:tblHeader w:val="false"/>
        </w:trPr>
        <w:tc>
          <w:tcPr>
            <w:tcW w:type="dxa" w:w="34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before="40"/>
            </w:pPr>
            <w:r>
              <w:rPr>
                <w:rFonts w:ascii="Times New Roman" w:cs="Times New Roman" w:eastAsia="Times New Roman" w:hAnsi="Times New Roman"/>
                <w:b/>
                <w:bCs/>
                <w:sz w:val="22"/>
                <w:szCs w:val="22"/>
              </w:rPr>
              <w:t xml:space="preserve">Use of funds</w:t>
            </w:r>
          </w:p>
          <w:p>
            <w:pPr>
              <w:spacing w:after="0"/>
            </w:pPr>
            <w:r>
              <w:rPr>
                <w:rFonts w:ascii="Times New Roman" w:cs="Times New Roman" w:eastAsia="Times New Roman" w:hAnsi="Times New Roman"/>
                <w:i/>
                <w:iCs/>
                <w:color w:val="595959"/>
                <w:sz w:val="20"/>
                <w:szCs w:val="20"/>
              </w:rPr>
              <w:t xml:space="preserve">How will they spend the money? Is it enough to reach the next milestone?</w:t>
            </w:r>
          </w:p>
        </w:tc>
        <w:tc>
          <w:tcPr>
            <w:tcW w:type="dxa" w:w="6536"/>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60"/>
            </w:pPr>
            <w:r>
              <w:rPr>
                <w:rFonts w:ascii="Times New Roman" w:cs="Times New Roman" w:eastAsia="Times New Roman" w:hAnsi="Times New Roman"/>
                <w:b/>
                <w:bCs/>
                <w:sz w:val="22"/>
                <w:szCs w:val="22"/>
              </w:rPr>
              <w:t xml:space="preserve">Not disclosed.</w:t>
            </w:r>
            <w:r>
              <w:rPr>
                <w:rFonts w:ascii="Times New Roman" w:cs="Times New Roman" w:eastAsia="Times New Roman" w:hAnsi="Times New Roman"/>
                <w:sz w:val="22"/>
                <w:szCs w:val="22"/>
              </w:rPr>
              <w:t xml:space="preserve"> The next milestones would need spending on:</w:t>
            </w:r>
          </w:p>
          <w:p>
            <w:pPr>
              <w:pStyle w:val="ListParagraph"/>
              <w:numPr>
                <w:ilvl w:val="0"/>
                <w:numId w:val="2"/>
              </w:numPr>
              <w:spacing w:after="40"/>
            </w:pPr>
            <w:r>
              <w:rPr>
                <w:rFonts w:ascii="Times New Roman" w:cs="Times New Roman" w:eastAsia="Times New Roman" w:hAnsi="Times New Roman"/>
                <w:sz w:val="22"/>
                <w:szCs w:val="22"/>
              </w:rPr>
              <w:t xml:space="preserve">a head of risk or a paid, dedicated risk provider;</w:t>
            </w:r>
          </w:p>
          <w:p>
            <w:pPr>
              <w:pStyle w:val="ListParagraph"/>
              <w:numPr>
                <w:ilvl w:val="0"/>
                <w:numId w:val="2"/>
              </w:numPr>
              <w:spacing w:after="40"/>
            </w:pPr>
            <w:r>
              <w:rPr>
                <w:rFonts w:ascii="Times New Roman" w:cs="Times New Roman" w:eastAsia="Times New Roman" w:hAnsi="Times New Roman"/>
                <w:sz w:val="22"/>
                <w:szCs w:val="22"/>
              </w:rPr>
              <w:t xml:space="preserve">the follow-up audit and mainnet operations (multisig, security council, monitoring, SEAL certification);</w:t>
            </w:r>
          </w:p>
          <w:p>
            <w:pPr>
              <w:pStyle w:val="ListParagraph"/>
              <w:numPr>
                <w:ilvl w:val="0"/>
                <w:numId w:val="2"/>
              </w:numPr>
              <w:spacing w:after="40"/>
            </w:pPr>
            <w:r>
              <w:rPr>
                <w:rFonts w:ascii="Times New Roman" w:cs="Times New Roman" w:eastAsia="Times New Roman" w:hAnsi="Times New Roman"/>
                <w:sz w:val="22"/>
                <w:szCs w:val="22"/>
              </w:rPr>
              <w:t xml:space="preserve">deposit incentives;</w:t>
            </w:r>
          </w:p>
          <w:p>
            <w:pPr>
              <w:pStyle w:val="ListParagraph"/>
              <w:numPr>
                <w:ilvl w:val="0"/>
                <w:numId w:val="2"/>
              </w:numPr>
              <w:spacing w:after="40"/>
            </w:pPr>
            <w:r>
              <w:rPr>
                <w:rFonts w:ascii="Times New Roman" w:cs="Times New Roman" w:eastAsia="Times New Roman" w:hAnsi="Times New Roman"/>
                <w:sz w:val="22"/>
                <w:szCs w:val="22"/>
              </w:rPr>
              <w:t xml:space="preserve">business development with large vault managers and distribution partners;</w:t>
            </w:r>
          </w:p>
          <w:p>
            <w:pPr>
              <w:pStyle w:val="ListParagraph"/>
              <w:numPr>
                <w:ilvl w:val="0"/>
                <w:numId w:val="2"/>
              </w:numPr>
              <w:spacing w:after="40"/>
            </w:pPr>
            <w:r>
              <w:rPr>
                <w:rFonts w:ascii="Times New Roman" w:cs="Times New Roman" w:eastAsia="Times New Roman" w:hAnsi="Times New Roman"/>
                <w:sz w:val="22"/>
                <w:szCs w:val="22"/>
              </w:rPr>
              <w:t xml:space="preserve">legal and compliance work for LotusUSD.</w:t>
            </w:r>
          </w:p>
          <w:p>
            <w:pPr>
              <w:spacing w:after="60"/>
            </w:pPr>
            <w:r>
              <w:rPr>
                <w:rFonts w:ascii="Times New Roman" w:cs="Times New Roman" w:eastAsia="Times New Roman" w:hAnsi="Times New Roman"/>
                <w:b/>
                <w:bCs/>
                <w:sz w:val="22"/>
                <w:szCs w:val="22"/>
              </w:rPr>
              <w:t xml:space="preserve">Next milestone to fund to:</w:t>
            </w:r>
            <w:r>
              <w:rPr>
                <w:rFonts w:ascii="Times New Roman" w:cs="Times New Roman" w:eastAsia="Times New Roman" w:hAnsi="Times New Roman"/>
                <w:sz w:val="22"/>
                <w:szCs w:val="22"/>
              </w:rPr>
              <w:t xml:space="preserve"> mainnet plus 6 months, showing deposits and outside borrowing that remain after incentives end.</w:t>
            </w:r>
          </w:p>
          <w:p>
            <w:pPr>
              <w:spacing w:after="60"/>
            </w:pPr>
            <w:r>
              <w:rPr>
                <w:rFonts w:ascii="Times New Roman" w:cs="Times New Roman" w:eastAsia="Times New Roman" w:hAnsi="Times New Roman"/>
                <w:b/>
                <w:bCs/>
                <w:sz w:val="22"/>
                <w:szCs w:val="22"/>
              </w:rPr>
              <w:t xml:space="preserve">Ask:</w:t>
            </w:r>
            <w:r>
              <w:rPr>
                <w:rFonts w:ascii="Times New Roman" w:cs="Times New Roman" w:eastAsia="Times New Roman" w:hAnsi="Times New Roman"/>
                <w:sz w:val="22"/>
                <w:szCs w:val="22"/>
              </w:rPr>
              <w:t xml:space="preserve"> current runway, the size of the incentive budget, and whether it is funded from equity or a future token.</w:t>
            </w:r>
          </w:p>
        </w:tc>
      </w:tr>
    </w:tbl>
    <w:p>
      <w:pPr>
        <w:pStyle w:val="Heading1"/>
        <w:keepNext/>
        <w:pBdr>
          <w:bottom w:val="single" w:color="000000" w:sz="4" w:space="2"/>
        </w:pBdr>
        <w:spacing w:after="60" w:before="280"/>
      </w:pPr>
      <w:r>
        <w:rPr>
          <w:rFonts w:ascii="Times New Roman" w:cs="Times New Roman" w:eastAsia="Times New Roman" w:hAnsi="Times New Roman"/>
          <w:b/>
          <w:bCs/>
          <w:color w:val="000000"/>
          <w:sz w:val="26"/>
          <w:szCs w:val="26"/>
        </w:rPr>
        <w:t xml:space="preserve">6. Recommendation</w:t>
      </w:r>
    </w:p>
    <w:p>
      <w:pPr>
        <w:spacing w:after="80"/>
      </w:pPr>
      <w:r>
        <w:rPr>
          <w:rFonts w:ascii="Times New Roman" w:cs="Times New Roman" w:eastAsia="Times New Roman" w:hAnsi="Times New Roman"/>
          <w:b/>
          <w:bCs/>
          <w:sz w:val="22"/>
          <w:szCs w:val="22"/>
        </w:rPr>
        <w:t xml:space="preserve">Keep exploring? </w:t>
      </w:r>
      <w:r>
        <w:rPr>
          <w:rFonts w:ascii="Times New Roman" w:cs="Times New Roman" w:eastAsia="Times New Roman" w:hAnsi="Times New Roman"/>
          <w:sz w:val="22"/>
          <w:szCs w:val="22"/>
        </w:rPr>
        <w:t xml:space="preserve">Maybe: continue to a founder meeting, no commitment before pre-deposit and early mainnet data.</w:t>
      </w:r>
    </w:p>
    <w:p>
      <w:pPr>
        <w:spacing w:after="80"/>
      </w:pPr>
      <w:r>
        <w:rPr>
          <w:rFonts w:ascii="Times New Roman" w:cs="Times New Roman" w:eastAsia="Times New Roman" w:hAnsi="Times New Roman"/>
          <w:b/>
          <w:bCs/>
          <w:sz w:val="22"/>
          <w:szCs w:val="22"/>
        </w:rPr>
        <w:t xml:space="preserve">Why: </w:t>
      </w:r>
      <w:r>
        <w:rPr>
          <w:rFonts w:ascii="Times New Roman" w:cs="Times New Roman" w:eastAsia="Times New Roman" w:hAnsi="Times New Roman"/>
          <w:sz w:val="22"/>
          <w:szCs w:val="22"/>
        </w:rPr>
        <w:t xml:space="preserve">Lotus has a credible mechanism, careful engineering and real partners, and results will be visible within weeks. But tiering risk does not solve what actually limits lending (borrower demand, loss-absorbing capital and distribution); the revenue model needs billions in loans; and the team has no visible risk or credit lead. We would only invest at seed-level pricing, with token rights, and with a risk hire or dedicated risk provider in place before mainnet.</w:t>
      </w:r>
    </w:p>
    <w:p>
      <w:pPr>
        <w:spacing w:after="80"/>
      </w:pPr>
      <w:r>
        <w:rPr>
          <w:rFonts w:ascii="Times New Roman" w:cs="Times New Roman" w:eastAsia="Times New Roman" w:hAnsi="Times New Roman"/>
          <w:b/>
          <w:bCs/>
          <w:sz w:val="22"/>
          <w:szCs w:val="22"/>
        </w:rPr>
        <w:t xml:space="preserve">Biggest open question: </w:t>
      </w:r>
      <w:r>
        <w:rPr>
          <w:rFonts w:ascii="Times New Roman" w:cs="Times New Roman" w:eastAsia="Times New Roman" w:hAnsi="Times New Roman"/>
          <w:sz w:val="22"/>
          <w:szCs w:val="22"/>
        </w:rPr>
        <w:t xml:space="preserve">After incentives end, will outside lenders put real capital into the riskier tiers, and will outside borrowers use them, in a way Morpho and Aave cannot already serve? Ask for committed amounts by tier from each vault manager and the expected share of borrowing from outside borrowers versus Lotus’s own carry vaults.</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2026-10-08T01:24:58.855Z</dcterms:created>
  <dcterms:modified xsi:type="dcterms:W3CDTF">2026-10-08T01:24:58.856Z</dcterms:modified>
</cp:coreProperties>
</file>

<file path=docProps/custom.xml><?xml version="1.0" encoding="utf-8"?>
<Properties xmlns="http://schemas.openxmlformats.org/officeDocument/2006/custom-properties" xmlns:vt="http://schemas.openxmlformats.org/officeDocument/2006/docPropsVTypes"/>
</file>