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618.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1" w:name="slutsats"/>
    <w:p>
      <w:pPr>
        <w:pStyle w:val="Heading1"/>
      </w:pPr>
      <w:r>
        <w:rPr>
          <w:rStyle w:val="SectionNumber"/>
        </w:rPr>
        <w:t xml:space="preserve">22</w:t>
      </w:r>
      <w:r>
        <w:tab/>
      </w:r>
      <w:r>
        <w:t xml:space="preserve">Slutsats</w:t>
      </w:r>
    </w:p>
    <w:tbl>
      <w:tblPr>
        <w:tblStyle w:val="FigureTable"/>
        <w:tblW w:type="auto" w:w="0"/>
        <w:tblLook w:firstRow="0" w:lastRow="0" w:firstColumn="0" w:lastColumn="0"/>
        <w:jc w:val="center"/>
      </w:tblPr>
      <w:tblGrid>
        <w:gridCol w:w="7920"/>
      </w:tblGrid>
      <w:tr>
        <w:tc>
          <w:tcPr/>
          <w:p>
            <w:pPr>
              <w:pStyle w:val="Compact"/>
              <w:jc w:val="center"/>
            </w:pPr>
            <w:r>
              <w:t xml:space="preserve">Framgångsnycklar för Infrastructure as Code</w:t>
            </w:r>
          </w:p>
        </w:tc>
      </w:tr>
    </w:tbl>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1">
        <w:r>
          <w:rPr>
            <w:rStyle w:val="Hyperlink"/>
          </w:rPr>
          <w:t xml:space="preserve">framtidens avancerade teknologier</w:t>
        </w:r>
      </w:hyperlink>
      <w:r>
        <w:t xml:space="preserve">.</w:t>
      </w:r>
    </w:p>
    <w:bookmarkStart w:id="527"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4"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2">
        <w:r>
          <w:rPr>
            <w:rStyle w:val="Hyperlink"/>
          </w:rPr>
          <w:t xml:space="preserve">CI/CD-automation</w:t>
        </w:r>
      </w:hyperlink>
      <w:r>
        <w:t xml:space="preserve">, och kulminerade i avancerade topics som</w:t>
      </w:r>
      <w:r>
        <w:t xml:space="preserve"> </w:t>
      </w:r>
      <w:hyperlink r:id="rId523">
        <w:r>
          <w:rPr>
            <w:rStyle w:val="Hyperlink"/>
          </w:rPr>
          <w:t xml:space="preserve">containerorkestrering</w:t>
        </w:r>
      </w:hyperlink>
      <w:r>
        <w:t xml:space="preserve"> </w:t>
      </w:r>
      <w:r>
        <w:t xml:space="preserve">och</w:t>
      </w:r>
      <w:r>
        <w:t xml:space="preserve"> </w:t>
      </w:r>
      <w:hyperlink r:id="rId521">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4"/>
    <w:bookmarkStart w:id="526"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1">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5">
        <w:r>
          <w:rPr>
            <w:rStyle w:val="Hyperlink"/>
          </w:rPr>
          <w:t xml:space="preserve">Kapitel 19 om digitalisering</w:t>
        </w:r>
      </w:hyperlink>
      <w:r>
        <w:t xml:space="preserve"> </w:t>
      </w:r>
      <w:r>
        <w:t xml:space="preserve">visade hur IaC möjliggör den digitala transformation som svenska organisationer genomgår</w:t>
      </w:r>
    </w:p>
    <w:bookmarkEnd w:id="526"/>
    <w:bookmarkEnd w:id="527"/>
    <w:bookmarkStart w:id="530"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1">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28">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28">
        <w:r>
          <w:rPr>
            <w:rStyle w:val="Hyperlink"/>
          </w:rPr>
          <w:t xml:space="preserve">framtidskapitlet</w:t>
        </w:r>
      </w:hyperlink>
      <w:r>
        <w:t xml:space="preserve">.</w:t>
      </w:r>
    </w:p>
    <w:bookmarkStart w:id="529"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28">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29"/>
    <w:bookmarkEnd w:id="530"/>
    <w:bookmarkStart w:id="537"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3"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1">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2">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28">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3"/>
    <w:bookmarkStart w:id="536"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4">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5">
        <w:r>
          <w:rPr>
            <w:rStyle w:val="Hyperlink"/>
          </w:rPr>
          <w:t xml:space="preserve">praktiska implementationen</w:t>
        </w:r>
      </w:hyperlink>
      <w:r>
        <w:t xml:space="preserve"> </w:t>
      </w:r>
      <w:r>
        <w:t xml:space="preserve">möjliggör data-driven decision making och kontinuerlig optimering av IaC-processer.</w:t>
      </w:r>
    </w:p>
    <w:bookmarkEnd w:id="536"/>
    <w:bookmarkEnd w:id="537"/>
    <w:bookmarkStart w:id="540"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1">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28">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38"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1">
        <w:r>
          <w:rPr>
            <w:rStyle w:val="Hyperlink"/>
          </w:rPr>
          <w:t xml:space="preserve">grundläggande versionhantering</w:t>
        </w:r>
      </w:hyperlink>
      <w:r>
        <w:t xml:space="preserve"> </w:t>
      </w:r>
      <w:r>
        <w:t xml:space="preserve">till</w:t>
      </w:r>
      <w:r>
        <w:t xml:space="preserve"> </w:t>
      </w:r>
      <w:hyperlink r:id="rId528">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38"/>
    <w:bookmarkStart w:id="539"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28">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39"/>
    <w:bookmarkEnd w:id="540"/>
    <w:bookmarkEnd w:id="541"/>
    <w:bookmarkStart w:id="547" w:name="ordlista"/>
    <w:p>
      <w:pPr>
        <w:pStyle w:val="Heading1"/>
      </w:pPr>
      <w:r>
        <w:rPr>
          <w:rStyle w:val="SectionNumber"/>
        </w:rPr>
        <w:t xml:space="preserve">23</w:t>
      </w:r>
      <w:r>
        <w:tab/>
      </w:r>
      <w:r>
        <w:t xml:space="preserve">Ordlista</w:t>
      </w:r>
    </w:p>
    <w:tbl>
      <w:tblPr>
        <w:tblStyle w:val="FigureTable"/>
        <w:tblW w:type="auto" w:w="0"/>
        <w:tblLook w:firstRow="0" w:lastRow="0" w:firstColumn="0" w:lastColumn="0"/>
        <w:jc w:val="center"/>
      </w:tblPr>
      <w:tblGrid>
        <w:gridCol w:w="7920"/>
      </w:tblGrid>
      <w:tr>
        <w:tc>
          <w:tcPr/>
          <w:p>
            <w:pPr>
              <w:pStyle w:val="Compact"/>
              <w:jc w:val="center"/>
            </w:pPr>
            <w:r>
              <w:t xml:space="preserve">IaC Core Concepts Class Diagram</w:t>
            </w:r>
          </w:p>
        </w:tc>
      </w:tr>
    </w:tbl>
    <w:p>
      <w:pPr>
        <w:pStyle w:val="ImageCaption"/>
      </w:pPr>
      <w:r>
        <w:t xml:space="preserve">IaC Core Concepts Class Diagram</w:t>
      </w:r>
    </w:p>
    <w:p>
      <w:pPr>
        <w:pStyle w:val="BodyText"/>
      </w:pPr>
      <w:r>
        <w:t xml:space="preserve">Denna ordlista innehåller definitioner av centrala termer som används genom boken.</w:t>
      </w:r>
    </w:p>
    <w:bookmarkStart w:id="542"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2"/>
    <w:bookmarkStart w:id="543"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3"/>
    <w:bookmarkStart w:id="544"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44"/>
    <w:bookmarkStart w:id="545"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45"/>
    <w:bookmarkStart w:id="546"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46"/>
    <w:bookmarkEnd w:id="547"/>
    <w:bookmarkStart w:id="571"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49" w:name="huvudförfattare"/>
    <w:p>
      <w:pPr>
        <w:pStyle w:val="Heading2"/>
      </w:pPr>
      <w:r>
        <w:rPr>
          <w:rStyle w:val="SectionNumber"/>
        </w:rPr>
        <w:t xml:space="preserve">24.1</w:t>
      </w:r>
      <w:r>
        <w:tab/>
      </w:r>
      <w:r>
        <w:t xml:space="preserve">Huvudförfattare</w:t>
      </w:r>
    </w:p>
    <w:bookmarkStart w:id="548"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48"/>
    <w:bookmarkEnd w:id="549"/>
    <w:bookmarkStart w:id="553" w:name="bidragande-experter"/>
    <w:p>
      <w:pPr>
        <w:pStyle w:val="Heading2"/>
      </w:pPr>
      <w:r>
        <w:rPr>
          <w:rStyle w:val="SectionNumber"/>
        </w:rPr>
        <w:t xml:space="preserve">24.2</w:t>
      </w:r>
      <w:r>
        <w:tab/>
      </w:r>
      <w:r>
        <w:t xml:space="preserve">Bidragande experter</w:t>
      </w:r>
    </w:p>
    <w:bookmarkStart w:id="550"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0"/>
    <w:bookmarkStart w:id="551"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1"/>
    <w:bookmarkStart w:id="552"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2"/>
    <w:bookmarkEnd w:id="553"/>
    <w:bookmarkStart w:id="556" w:name="organisatoriska-bidrag"/>
    <w:p>
      <w:pPr>
        <w:pStyle w:val="Heading2"/>
      </w:pPr>
      <w:r>
        <w:rPr>
          <w:rStyle w:val="SectionNumber"/>
        </w:rPr>
        <w:t xml:space="preserve">24.3</w:t>
      </w:r>
      <w:r>
        <w:tab/>
      </w:r>
      <w:r>
        <w:t xml:space="preserve">Organisatoriska bidrag</w:t>
      </w:r>
    </w:p>
    <w:bookmarkStart w:id="554"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54"/>
    <w:bookmarkStart w:id="555"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55"/>
    <w:bookmarkEnd w:id="556"/>
    <w:bookmarkStart w:id="559" w:name="teknisk-implementation"/>
    <w:p>
      <w:pPr>
        <w:pStyle w:val="Heading2"/>
      </w:pPr>
      <w:r>
        <w:rPr>
          <w:rStyle w:val="SectionNumber"/>
        </w:rPr>
        <w:t xml:space="preserve">24.4</w:t>
      </w:r>
      <w:r>
        <w:tab/>
      </w:r>
      <w:r>
        <w:t xml:space="preserve">Teknisk implementation</w:t>
      </w:r>
    </w:p>
    <w:bookmarkStart w:id="557"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57"/>
    <w:bookmarkStart w:id="558"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58"/>
    <w:bookmarkEnd w:id="559"/>
    <w:bookmarkStart w:id="563" w:name="erkännanden"/>
    <w:p>
      <w:pPr>
        <w:pStyle w:val="Heading2"/>
      </w:pPr>
      <w:r>
        <w:rPr>
          <w:rStyle w:val="SectionNumber"/>
        </w:rPr>
        <w:t xml:space="preserve">24.5</w:t>
      </w:r>
      <w:r>
        <w:tab/>
      </w:r>
      <w:r>
        <w:t xml:space="preserve">Erkännanden</w:t>
      </w:r>
    </w:p>
    <w:bookmarkStart w:id="560"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0"/>
    <w:bookmarkStart w:id="561"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1"/>
    <w:bookmarkStart w:id="562"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2"/>
    <w:bookmarkEnd w:id="563"/>
    <w:bookmarkStart w:id="568" w:name="framtida-utveckling"/>
    <w:p>
      <w:pPr>
        <w:pStyle w:val="Heading2"/>
      </w:pPr>
      <w:r>
        <w:rPr>
          <w:rStyle w:val="SectionNumber"/>
        </w:rPr>
        <w:t xml:space="preserve">24.6</w:t>
      </w:r>
      <w:r>
        <w:tab/>
      </w:r>
      <w:r>
        <w:t xml:space="preserve">Framtida utveckling</w:t>
      </w:r>
    </w:p>
    <w:bookmarkStart w:id="564"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64"/>
    <w:bookmarkStart w:id="565"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65"/>
    <w:bookmarkStart w:id="567"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66">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67"/>
    <w:bookmarkEnd w:id="568"/>
    <w:bookmarkStart w:id="569"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69"/>
    <w:bookmarkStart w:id="570"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0"/>
    <w:bookmarkEnd w:id="571"/>
    <w:bookmarkStart w:id="601"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75" w:name="Xa26f28c65cf0ecfe9d987247c1b761f468789cd"/>
    <w:p>
      <w:pPr>
        <w:pStyle w:val="Heading2"/>
      </w:pPr>
      <w:r>
        <w:rPr>
          <w:rStyle w:val="SectionNumber"/>
        </w:rPr>
        <w:t xml:space="preserve">25.1</w:t>
      </w:r>
      <w:r>
        <w:tab/>
      </w:r>
      <w:r>
        <w:t xml:space="preserve">Teknologiska trender som formar framtiden</w:t>
      </w:r>
    </w:p>
    <w:bookmarkStart w:id="572"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2"/>
    <w:bookmarkStart w:id="573"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3"/>
    <w:bookmarkStart w:id="574"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74"/>
    <w:bookmarkEnd w:id="575"/>
    <w:bookmarkStart w:id="579" w:name="metodologiska-utvecklingar"/>
    <w:p>
      <w:pPr>
        <w:pStyle w:val="Heading2"/>
      </w:pPr>
      <w:r>
        <w:rPr>
          <w:rStyle w:val="SectionNumber"/>
        </w:rPr>
        <w:t xml:space="preserve">25.2</w:t>
      </w:r>
      <w:r>
        <w:tab/>
      </w:r>
      <w:r>
        <w:t xml:space="preserve">Metodologiska utvecklingar</w:t>
      </w:r>
    </w:p>
    <w:bookmarkStart w:id="576"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76"/>
    <w:bookmarkStart w:id="577"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77"/>
    <w:bookmarkStart w:id="578"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78"/>
    <w:bookmarkEnd w:id="579"/>
    <w:bookmarkStart w:id="583" w:name="säkerhet-och-compliance-evolution"/>
    <w:p>
      <w:pPr>
        <w:pStyle w:val="Heading2"/>
      </w:pPr>
      <w:r>
        <w:rPr>
          <w:rStyle w:val="SectionNumber"/>
        </w:rPr>
        <w:t xml:space="preserve">25.3</w:t>
      </w:r>
      <w:r>
        <w:tab/>
      </w:r>
      <w:r>
        <w:t xml:space="preserve">Säkerhet och compliance-evolution</w:t>
      </w:r>
    </w:p>
    <w:bookmarkStart w:id="580"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0"/>
    <w:bookmarkStart w:id="581"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1"/>
    <w:bookmarkStart w:id="582"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2"/>
    <w:bookmarkEnd w:id="583"/>
    <w:bookmarkStart w:id="587" w:name="organisatoriska-förändringar"/>
    <w:p>
      <w:pPr>
        <w:pStyle w:val="Heading2"/>
      </w:pPr>
      <w:r>
        <w:rPr>
          <w:rStyle w:val="SectionNumber"/>
        </w:rPr>
        <w:t xml:space="preserve">25.4</w:t>
      </w:r>
      <w:r>
        <w:tab/>
      </w:r>
      <w:r>
        <w:t xml:space="preserve">Organisatoriska förändringar</w:t>
      </w:r>
    </w:p>
    <w:bookmarkStart w:id="584"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84"/>
    <w:bookmarkStart w:id="585"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85"/>
    <w:bookmarkStart w:id="586"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86"/>
    <w:bookmarkEnd w:id="587"/>
    <w:bookmarkStart w:id="591" w:name="tekniska-innovationer"/>
    <w:p>
      <w:pPr>
        <w:pStyle w:val="Heading2"/>
      </w:pPr>
      <w:r>
        <w:rPr>
          <w:rStyle w:val="SectionNumber"/>
        </w:rPr>
        <w:t xml:space="preserve">25.5</w:t>
      </w:r>
      <w:r>
        <w:tab/>
      </w:r>
      <w:r>
        <w:t xml:space="preserve">Tekniska innovationer</w:t>
      </w:r>
    </w:p>
    <w:bookmarkStart w:id="588"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88"/>
    <w:bookmarkStart w:id="589"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89"/>
    <w:bookmarkStart w:id="590"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0"/>
    <w:bookmarkEnd w:id="591"/>
    <w:bookmarkStart w:id="595" w:name="svenska-specifika-möjligheter"/>
    <w:p>
      <w:pPr>
        <w:pStyle w:val="Heading2"/>
      </w:pPr>
      <w:r>
        <w:rPr>
          <w:rStyle w:val="SectionNumber"/>
        </w:rPr>
        <w:t xml:space="preserve">25.6</w:t>
      </w:r>
      <w:r>
        <w:tab/>
      </w:r>
      <w:r>
        <w:t xml:space="preserve">Svenska specifika möjligheter</w:t>
      </w:r>
    </w:p>
    <w:bookmarkStart w:id="592"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2"/>
    <w:bookmarkStart w:id="593"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3"/>
    <w:bookmarkStart w:id="594"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594"/>
    <w:bookmarkEnd w:id="595"/>
    <w:bookmarkStart w:id="599" w:name="förberedelser-för-framtiden"/>
    <w:p>
      <w:pPr>
        <w:pStyle w:val="Heading2"/>
      </w:pPr>
      <w:r>
        <w:rPr>
          <w:rStyle w:val="SectionNumber"/>
        </w:rPr>
        <w:t xml:space="preserve">25.7</w:t>
      </w:r>
      <w:r>
        <w:tab/>
      </w:r>
      <w:r>
        <w:t xml:space="preserve">Förberedelser för framtiden</w:t>
      </w:r>
    </w:p>
    <w:bookmarkStart w:id="596"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596"/>
    <w:bookmarkStart w:id="597"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597"/>
    <w:bookmarkStart w:id="598"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598"/>
    <w:bookmarkEnd w:id="599"/>
    <w:bookmarkStart w:id="600"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0"/>
    <w:bookmarkEnd w:id="601"/>
    <w:bookmarkStart w:id="617"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2"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2"/>
    <w:bookmarkStart w:id="606"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3"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2">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3"/>
    <w:bookmarkStart w:id="604"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2">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04"/>
    <w:bookmarkStart w:id="605"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2">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05"/>
    <w:bookmarkEnd w:id="606"/>
    <w:bookmarkStart w:id="608"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07"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07"/>
    <w:bookmarkEnd w:id="608"/>
    <w:bookmarkStart w:id="611"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0"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09">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0"/>
    <w:bookmarkEnd w:id="611"/>
    <w:bookmarkStart w:id="613"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2"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09">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2"/>
    <w:bookmarkEnd w:id="613"/>
    <w:bookmarkStart w:id="616"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14"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14"/>
    <w:bookmarkStart w:id="615"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15"/>
    <w:bookmarkEnd w:id="616"/>
    <w:bookmarkEnd w:id="617"/>
    <w:bookmarkStart w:id="646"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tbl>
      <w:tblPr>
        <w:tblStyle w:val="FigureTable"/>
        <w:tblW w:type="auto" w:w="0"/>
        <w:tblLook w:firstRow="0" w:lastRow="0" w:firstColumn="0" w:lastColumn="0"/>
        <w:jc w:val="center"/>
      </w:tblPr>
      <w:tblGrid>
        <w:gridCol w:w="7920"/>
      </w:tblGrid>
      <w:tr>
        <w:tc>
          <w:tcPr/>
          <w:p>
            <w:pPr>
              <w:pStyle w:val="Compact"/>
              <w:jc w:val="center"/>
            </w:pPr>
            <w:r>
              <w:t xml:space="preserve">Teknisk arkitektur för bokproduktion</w:t>
            </w:r>
          </w:p>
        </w:tc>
      </w:tr>
    </w:tbl>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19" name="Picture"/>
            <a:graphic>
              <a:graphicData uri="http://schemas.openxmlformats.org/drawingml/2006/picture">
                <pic:pic>
                  <pic:nvPicPr>
                    <pic:cNvPr descr="images/diagram_27_er_architecture.png" id="620" name="Picture"/>
                    <pic:cNvPicPr>
                      <a:picLocks noChangeArrowheads="1" noChangeAspect="1"/>
                    </pic:cNvPicPr>
                  </pic:nvPicPr>
                  <pic:blipFill>
                    <a:blip r:embed="rId618"/>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24" w:name="markdown-filer-struktur-och-syfte"/>
    <w:p>
      <w:pPr>
        <w:pStyle w:val="Heading2"/>
      </w:pPr>
      <w:r>
        <w:rPr>
          <w:rStyle w:val="SectionNumber"/>
        </w:rPr>
        <w:t xml:space="preserve">27.1</w:t>
      </w:r>
      <w:r>
        <w:tab/>
      </w:r>
      <w:r>
        <w:t xml:space="preserve">Markdown-filer: Struktur och syfte</w:t>
      </w:r>
    </w:p>
    <w:bookmarkStart w:id="621"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21"/>
    <w:bookmarkStart w:id="622"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22"/>
    <w:bookmarkStart w:id="623"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23"/>
    <w:bookmarkEnd w:id="624"/>
    <w:bookmarkStart w:id="628" w:name="pandoc-konvertering-och-formatering"/>
    <w:p>
      <w:pPr>
        <w:pStyle w:val="Heading2"/>
      </w:pPr>
      <w:r>
        <w:rPr>
          <w:rStyle w:val="SectionNumber"/>
        </w:rPr>
        <w:t xml:space="preserve">27.2</w:t>
      </w:r>
      <w:r>
        <w:tab/>
      </w:r>
      <w:r>
        <w:t xml:space="preserve">Pandoc: Konvertering och formatering</w:t>
      </w:r>
    </w:p>
    <w:bookmarkStart w:id="625"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25"/>
    <w:bookmarkStart w:id="626"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26"/>
    <w:bookmarkStart w:id="627"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27"/>
    <w:bookmarkEnd w:id="628"/>
    <w:bookmarkStart w:id="632" w:name="github-actions-cicd-pipeline"/>
    <w:p>
      <w:pPr>
        <w:pStyle w:val="Heading2"/>
      </w:pPr>
      <w:r>
        <w:rPr>
          <w:rStyle w:val="SectionNumber"/>
        </w:rPr>
        <w:t xml:space="preserve">27.3</w:t>
      </w:r>
      <w:r>
        <w:tab/>
      </w:r>
      <w:r>
        <w:t xml:space="preserve">GitHub Actions: CI/CD-pipeline</w:t>
      </w:r>
    </w:p>
    <w:bookmarkStart w:id="629"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29"/>
    <w:bookmarkStart w:id="630"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0"/>
    <w:bookmarkStart w:id="631"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31"/>
    <w:bookmarkEnd w:id="632"/>
    <w:bookmarkStart w:id="636" w:name="X9e6abfcb7b8c538d7a7e10c4b69e7fa63cac351"/>
    <w:p>
      <w:pPr>
        <w:pStyle w:val="Heading2"/>
      </w:pPr>
      <w:r>
        <w:rPr>
          <w:rStyle w:val="SectionNumber"/>
        </w:rPr>
        <w:t xml:space="preserve">27.4</w:t>
      </w:r>
      <w:r>
        <w:tab/>
      </w:r>
      <w:r>
        <w:t xml:space="preserve">Presentation-material: Förberedelse och generering</w:t>
      </w:r>
    </w:p>
    <w:bookmarkStart w:id="633"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33"/>
    <w:bookmarkStart w:id="634"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34"/>
    <w:bookmarkStart w:id="635"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35"/>
    <w:bookmarkEnd w:id="636"/>
    <w:bookmarkStart w:id="640" w:name="X9d1977d4dc78c198d1f13b6692b06c2f8a830a1"/>
    <w:p>
      <w:pPr>
        <w:pStyle w:val="Heading2"/>
      </w:pPr>
      <w:r>
        <w:rPr>
          <w:rStyle w:val="SectionNumber"/>
        </w:rPr>
        <w:t xml:space="preserve">27.5</w:t>
      </w:r>
      <w:r>
        <w:tab/>
      </w:r>
      <w:r>
        <w:t xml:space="preserve">Omslag och whitepapers: Design och integration</w:t>
      </w:r>
    </w:p>
    <w:bookmarkStart w:id="637"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37"/>
    <w:bookmarkStart w:id="638"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38"/>
    <w:bookmarkStart w:id="639"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39"/>
    <w:bookmarkEnd w:id="640"/>
    <w:bookmarkStart w:id="644" w:name="teknisk-arkitektur-och-systemintegration"/>
    <w:p>
      <w:pPr>
        <w:pStyle w:val="Heading2"/>
      </w:pPr>
      <w:r>
        <w:rPr>
          <w:rStyle w:val="SectionNumber"/>
        </w:rPr>
        <w:t xml:space="preserve">27.6</w:t>
      </w:r>
      <w:r>
        <w:tab/>
      </w:r>
      <w:r>
        <w:t xml:space="preserve">Teknisk arkitektur och systemintegration</w:t>
      </w:r>
    </w:p>
    <w:bookmarkStart w:id="641"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41"/>
    <w:bookmarkStart w:id="642"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42"/>
    <w:bookmarkStart w:id="643"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43"/>
    <w:bookmarkEnd w:id="644"/>
    <w:bookmarkStart w:id="645"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45"/>
    <w:bookmarkEnd w:id="6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618" Target="media/rId618.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1"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2"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4" Target="07_kapitel6.md" TargetMode="External" /><Relationship Type="http://schemas.openxmlformats.org/officeDocument/2006/relationships/hyperlink" Id="rId85" Target="07_molnarkitektur.md" TargetMode="External" /><Relationship Type="http://schemas.openxmlformats.org/officeDocument/2006/relationships/hyperlink" Id="rId523" Target="08_containerisering.md" TargetMode="External" /><Relationship Type="http://schemas.openxmlformats.org/officeDocument/2006/relationships/hyperlink" Id="rId535"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2"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5" Target="19_digitalisering.md" TargetMode="External" /><Relationship Type="http://schemas.openxmlformats.org/officeDocument/2006/relationships/hyperlink" Id="rId528" Target="19_kapitel18.md" TargetMode="External" /><Relationship Type="http://schemas.openxmlformats.org/officeDocument/2006/relationships/hyperlink" Id="rId521" Target="21_framtida_trender.md" TargetMode="External" /><Relationship Type="http://schemas.openxmlformats.org/officeDocument/2006/relationships/hyperlink" Id="rId609"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66"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1"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2"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4" Target="07_kapitel6.md" TargetMode="External" /><Relationship Type="http://schemas.openxmlformats.org/officeDocument/2006/relationships/hyperlink" Id="rId85" Target="07_molnarkitektur.md" TargetMode="External" /><Relationship Type="http://schemas.openxmlformats.org/officeDocument/2006/relationships/hyperlink" Id="rId523" Target="08_containerisering.md" TargetMode="External" /><Relationship Type="http://schemas.openxmlformats.org/officeDocument/2006/relationships/hyperlink" Id="rId535"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2"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5" Target="19_digitalisering.md" TargetMode="External" /><Relationship Type="http://schemas.openxmlformats.org/officeDocument/2006/relationships/hyperlink" Id="rId528" Target="19_kapitel18.md" TargetMode="External" /><Relationship Type="http://schemas.openxmlformats.org/officeDocument/2006/relationships/hyperlink" Id="rId521" Target="21_framtida_trender.md" TargetMode="External" /><Relationship Type="http://schemas.openxmlformats.org/officeDocument/2006/relationships/hyperlink" Id="rId609"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66"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cp:keywords/>
  <dcterms:created xsi:type="dcterms:W3CDTF">2025-09-21T13:18:13Z</dcterms:created>
  <dcterms:modified xsi:type="dcterms:W3CDTF">2025-09-21T13:18:13Z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Infrastructure as Code i praktiken</vt:lpwstr>
  </property>
</Properties>
</file>