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24FA8" w14:textId="49C527E9" w:rsidR="00631204" w:rsidRPr="00A141A8" w:rsidRDefault="000E6C69" w:rsidP="00B04933">
      <w:pPr>
        <w:pStyle w:val="Kop1"/>
        <w:numPr>
          <w:ilvl w:val="0"/>
          <w:numId w:val="0"/>
        </w:numPr>
        <w:rPr>
          <w:rFonts w:asciiTheme="minorHAnsi" w:hAnsiTheme="minorHAnsi"/>
          <w:color w:val="1F4E79" w:themeColor="accent1" w:themeShade="80"/>
          <w:sz w:val="36"/>
        </w:rPr>
      </w:pPr>
      <w:r w:rsidRPr="00A141A8">
        <w:rPr>
          <w:rFonts w:asciiTheme="minorHAnsi" w:hAnsiTheme="minorHAnsi"/>
          <w:color w:val="1F4E79" w:themeColor="accent1" w:themeShade="80"/>
          <w:sz w:val="36"/>
        </w:rPr>
        <w:t xml:space="preserve">Use case </w:t>
      </w:r>
      <w:r w:rsidR="00A141A8" w:rsidRPr="00A141A8">
        <w:rPr>
          <w:rFonts w:asciiTheme="minorHAnsi" w:hAnsiTheme="minorHAnsi"/>
          <w:color w:val="1F4E79" w:themeColor="accent1" w:themeShade="80"/>
          <w:sz w:val="36"/>
        </w:rPr>
        <w:t>Kennisnet</w:t>
      </w:r>
    </w:p>
    <w:p w14:paraId="310187E7" w14:textId="1F7CF3AA" w:rsidR="00BF676B" w:rsidRDefault="00BF676B" w:rsidP="00BF676B">
      <w:pPr>
        <w:pStyle w:val="Kop1"/>
        <w:numPr>
          <w:ilvl w:val="0"/>
          <w:numId w:val="0"/>
        </w:numPr>
        <w:rPr>
          <w:rFonts w:asciiTheme="minorHAnsi" w:hAnsiTheme="minorHAnsi"/>
          <w:color w:val="1F4E79" w:themeColor="accent1" w:themeShade="80"/>
        </w:rPr>
      </w:pPr>
      <w:r>
        <w:rPr>
          <w:rFonts w:asciiTheme="minorHAnsi" w:hAnsiTheme="minorHAnsi"/>
          <w:color w:val="1F4E79" w:themeColor="accent1" w:themeShade="80"/>
        </w:rPr>
        <w:t xml:space="preserve">Huidige situatie </w:t>
      </w:r>
    </w:p>
    <w:p w14:paraId="516BA467" w14:textId="79C3D99D" w:rsidR="00BF676B" w:rsidRDefault="00A141A8" w:rsidP="00295FA4">
      <w:r>
        <w:t xml:space="preserve">Entree Federatie is een </w:t>
      </w:r>
      <w:r w:rsidR="00295FA4">
        <w:t>federatieve</w:t>
      </w:r>
      <w:r>
        <w:t xml:space="preserve"> hub (toegangsdienst</w:t>
      </w:r>
      <w:r w:rsidR="00295FA4">
        <w:t>)</w:t>
      </w:r>
      <w:r>
        <w:t xml:space="preserve"> en wordt met name gebruikt binnen de onderwijssectoren VO en MBO</w:t>
      </w:r>
      <w:r w:rsidR="00295FA4">
        <w:t xml:space="preserve">. De actoren binnen het onderwijs, zoals leerlingen, studenten en docenten kunnen </w:t>
      </w:r>
      <w:r w:rsidR="00295FA4" w:rsidRPr="00295FA4">
        <w:t xml:space="preserve">met </w:t>
      </w:r>
      <w:r w:rsidR="00295FA4">
        <w:t>het authenticatiemiddel van de onderwijsinstelling</w:t>
      </w:r>
      <w:r w:rsidR="00295FA4" w:rsidRPr="00295FA4">
        <w:t xml:space="preserve"> toegang </w:t>
      </w:r>
      <w:r w:rsidR="00295FA4">
        <w:t xml:space="preserve">krijgen tot vele diensten zoals </w:t>
      </w:r>
      <w:r w:rsidR="00295FA4" w:rsidRPr="00295FA4">
        <w:t>online</w:t>
      </w:r>
      <w:r w:rsidR="00295FA4">
        <w:t xml:space="preserve"> les- of docentenmateriaal</w:t>
      </w:r>
      <w:r w:rsidR="00295FA4" w:rsidRPr="00295FA4">
        <w:t xml:space="preserve">. </w:t>
      </w:r>
      <w:r w:rsidR="00295FA4">
        <w:t xml:space="preserve">De ondersteuning van de SSO functie is gebaseerd op </w:t>
      </w:r>
      <w:r w:rsidR="0078400B">
        <w:t xml:space="preserve">de </w:t>
      </w:r>
      <w:r w:rsidR="00295FA4">
        <w:t xml:space="preserve">SAML2 </w:t>
      </w:r>
      <w:r w:rsidR="0078400B">
        <w:t>standaard</w:t>
      </w:r>
      <w:r w:rsidR="00295FA4">
        <w:t xml:space="preserve">. </w:t>
      </w:r>
      <w:r w:rsidR="00295FA4" w:rsidRPr="00295FA4">
        <w:t xml:space="preserve"> </w:t>
      </w:r>
    </w:p>
    <w:p w14:paraId="69804D79" w14:textId="62D8CCC7" w:rsidR="001959D8" w:rsidRDefault="001959D8" w:rsidP="00295FA4"/>
    <w:p w14:paraId="3234CBF4" w14:textId="0B1D44F6" w:rsidR="001959D8" w:rsidRDefault="00C7510A" w:rsidP="00295FA4">
      <w:r>
        <w:t>Entree Federatie</w:t>
      </w:r>
      <w:r w:rsidR="001959D8" w:rsidRPr="001959D8">
        <w:t xml:space="preserve"> vormt een centraal knooppunt waarlangs alle inlogverzoeken worden afgehandeld en de juiste kant op worden gestuurd. Zo hoeft een onderwijsinstelling niet zelf met alle </w:t>
      </w:r>
      <w:r w:rsidR="001959D8">
        <w:t>service providers</w:t>
      </w:r>
      <w:r w:rsidR="001959D8" w:rsidRPr="001959D8">
        <w:t xml:space="preserve"> te koppelen, maa</w:t>
      </w:r>
      <w:r w:rsidR="001959D8">
        <w:t xml:space="preserve">r volstaat één koppeling met Entree </w:t>
      </w:r>
      <w:r w:rsidR="001959D8" w:rsidRPr="001959D8">
        <w:t xml:space="preserve">Federatie. Dezelfde constructie geldt uiteraard voor een </w:t>
      </w:r>
      <w:r w:rsidR="007A6080">
        <w:t>service provider</w:t>
      </w:r>
      <w:r w:rsidR="001959D8" w:rsidRPr="001959D8">
        <w:t>.</w:t>
      </w:r>
    </w:p>
    <w:p w14:paraId="2CC7FA89" w14:textId="77777777" w:rsidR="008B4C56" w:rsidRDefault="008B4C56" w:rsidP="00295FA4"/>
    <w:p w14:paraId="6FF1ECF0" w14:textId="54CDED85" w:rsidR="0078400B" w:rsidRDefault="008B4C56" w:rsidP="00295FA4">
      <w:r>
        <w:rPr>
          <w:noProof/>
          <w:lang w:eastAsia="nl-NL"/>
        </w:rPr>
        <w:drawing>
          <wp:inline distT="0" distB="0" distL="0" distR="0" wp14:anchorId="008CC0EC" wp14:editId="69F77199">
            <wp:extent cx="5756910" cy="18148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F994" w14:textId="77777777" w:rsidR="008B4C56" w:rsidRDefault="008B4C56" w:rsidP="00295FA4"/>
    <w:p w14:paraId="3661B423" w14:textId="3215546C" w:rsidR="0078400B" w:rsidRPr="00612D9A" w:rsidRDefault="0078400B" w:rsidP="0078400B">
      <w:pPr>
        <w:rPr>
          <w:b/>
        </w:rPr>
      </w:pPr>
      <w:r w:rsidRPr="00612D9A">
        <w:rPr>
          <w:b/>
        </w:rPr>
        <w:t xml:space="preserve">Onderscheiden van </w:t>
      </w:r>
      <w:r w:rsidR="003438B4">
        <w:rPr>
          <w:b/>
        </w:rPr>
        <w:t xml:space="preserve">een </w:t>
      </w:r>
      <w:r w:rsidRPr="00612D9A">
        <w:rPr>
          <w:b/>
        </w:rPr>
        <w:t>toeg</w:t>
      </w:r>
      <w:r w:rsidR="003438B4">
        <w:rPr>
          <w:b/>
        </w:rPr>
        <w:t>angs-</w:t>
      </w:r>
      <w:r>
        <w:rPr>
          <w:b/>
        </w:rPr>
        <w:t xml:space="preserve"> en gebruiksproces</w:t>
      </w:r>
    </w:p>
    <w:p w14:paraId="5D4884DF" w14:textId="123A35BB" w:rsidR="0078400B" w:rsidRDefault="0078400B" w:rsidP="0078400B">
      <w:r w:rsidRPr="00612D9A">
        <w:t xml:space="preserve">Vaak worden er op basis van een policy </w:t>
      </w:r>
      <w:r w:rsidR="00775259">
        <w:t xml:space="preserve">(ARP) </w:t>
      </w:r>
      <w:r w:rsidRPr="00612D9A">
        <w:t xml:space="preserve">bij het </w:t>
      </w:r>
      <w:r>
        <w:t>toegangs</w:t>
      </w:r>
      <w:r w:rsidR="00775259">
        <w:t>proces</w:t>
      </w:r>
      <w:r>
        <w:t xml:space="preserve"> </w:t>
      </w:r>
      <w:r w:rsidRPr="00612D9A">
        <w:t>ook bepaalde attributen</w:t>
      </w:r>
      <w:r w:rsidR="00340502">
        <w:t xml:space="preserve"> </w:t>
      </w:r>
      <w:r w:rsidRPr="00612D9A">
        <w:t xml:space="preserve">geleverd. In deze policy worden de dienstaanbieders en hun diensten niet altijd in de gewenste fijnmazigheid onderkend. </w:t>
      </w:r>
      <w:r>
        <w:t xml:space="preserve">Het is wenselijk om bij toegang een minimale set gegevens te leveren en bij gebruik aanvullende gegevens waar ook doelbinding voor bestaat. </w:t>
      </w:r>
    </w:p>
    <w:p w14:paraId="3955DB21" w14:textId="77777777" w:rsidR="003438B4" w:rsidRDefault="003438B4" w:rsidP="0078400B"/>
    <w:p w14:paraId="00C36E71" w14:textId="77957807" w:rsidR="003438B4" w:rsidRDefault="001959D8" w:rsidP="0078400B">
      <w:r>
        <w:rPr>
          <w:noProof/>
          <w:lang w:eastAsia="nl-NL"/>
        </w:rPr>
        <w:drawing>
          <wp:inline distT="0" distB="0" distL="0" distR="0" wp14:anchorId="2014BA68" wp14:editId="79329103">
            <wp:extent cx="5991396" cy="116378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476" cy="11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36E7" w14:textId="77777777" w:rsidR="0078400B" w:rsidRDefault="0078400B" w:rsidP="0078400B"/>
    <w:p w14:paraId="1C2D183B" w14:textId="555835CE" w:rsidR="0078400B" w:rsidRDefault="0055435F" w:rsidP="0078400B">
      <w:r>
        <w:t>H</w:t>
      </w:r>
      <w:r w:rsidR="0078400B">
        <w:t>et onderkennen van een toegang</w:t>
      </w:r>
      <w:r w:rsidR="00D836AA">
        <w:t>-</w:t>
      </w:r>
      <w:r w:rsidR="0078400B">
        <w:t xml:space="preserve"> en </w:t>
      </w:r>
      <w:r w:rsidR="00D836AA">
        <w:t>een gebruiks</w:t>
      </w:r>
      <w:r>
        <w:t>proces en h</w:t>
      </w:r>
      <w:r w:rsidR="0078400B">
        <w:t xml:space="preserve">et inrichten van een infrastructuur die </w:t>
      </w:r>
      <w:r>
        <w:t xml:space="preserve">hierin ondersteunt maakt het mogelijk dat er </w:t>
      </w:r>
      <w:r w:rsidR="0078400B">
        <w:t>allerlei gegevens gedeeld worden</w:t>
      </w:r>
      <w:r>
        <w:t xml:space="preserve"> uit verschillende bronnen, mits hier doelbinding voor bestaat</w:t>
      </w:r>
      <w:r w:rsidR="0078400B">
        <w:t xml:space="preserve">. </w:t>
      </w:r>
    </w:p>
    <w:p w14:paraId="090760E2" w14:textId="77777777" w:rsidR="0078400B" w:rsidRDefault="0078400B" w:rsidP="0078400B"/>
    <w:p w14:paraId="3D681025" w14:textId="77777777" w:rsidR="004041D1" w:rsidRDefault="004041D1">
      <w:pPr>
        <w:rPr>
          <w:rFonts w:eastAsiaTheme="majorEastAsia" w:cstheme="majorBidi"/>
          <w:b/>
          <w:color w:val="1F4E79" w:themeColor="accent1" w:themeShade="80"/>
          <w:sz w:val="28"/>
          <w:szCs w:val="32"/>
        </w:rPr>
      </w:pPr>
      <w:r>
        <w:rPr>
          <w:color w:val="1F4E79" w:themeColor="accent1" w:themeShade="80"/>
        </w:rPr>
        <w:br w:type="page"/>
      </w:r>
    </w:p>
    <w:p w14:paraId="56BE899C" w14:textId="49C8F4E7" w:rsidR="00BF676B" w:rsidRDefault="00BF676B" w:rsidP="00BF676B">
      <w:pPr>
        <w:pStyle w:val="Kop1"/>
        <w:numPr>
          <w:ilvl w:val="0"/>
          <w:numId w:val="0"/>
        </w:numPr>
        <w:rPr>
          <w:rFonts w:asciiTheme="minorHAnsi" w:hAnsiTheme="minorHAnsi"/>
          <w:color w:val="1F4E79" w:themeColor="accent1" w:themeShade="80"/>
        </w:rPr>
      </w:pPr>
      <w:r>
        <w:rPr>
          <w:rFonts w:asciiTheme="minorHAnsi" w:hAnsiTheme="minorHAnsi"/>
          <w:color w:val="1F4E79" w:themeColor="accent1" w:themeShade="80"/>
        </w:rPr>
        <w:lastRenderedPageBreak/>
        <w:t xml:space="preserve">Toekomstvisie federatieve hub onderwijs (VO/MBO) </w:t>
      </w:r>
    </w:p>
    <w:p w14:paraId="66B1FC10" w14:textId="6BB93352" w:rsidR="00BF676B" w:rsidRDefault="00BF676B" w:rsidP="00BF676B">
      <w:r>
        <w:t xml:space="preserve">In de toekomstvisie toegang </w:t>
      </w:r>
      <w:r w:rsidR="009B105D">
        <w:t>van</w:t>
      </w:r>
      <w:r>
        <w:t xml:space="preserve"> de Educatieve Contentketen (ECK) wordt een c</w:t>
      </w:r>
      <w:r w:rsidRPr="000F7C41">
        <w:t xml:space="preserve">entrale hub </w:t>
      </w:r>
      <w:r w:rsidR="001C2648">
        <w:t>geschetst die standaarden als SAML,</w:t>
      </w:r>
      <w:r>
        <w:t xml:space="preserve"> Oauth en OIDC </w:t>
      </w:r>
      <w:r w:rsidR="001C2648">
        <w:t>ondersteunt</w:t>
      </w:r>
      <w:r>
        <w:t>.</w:t>
      </w:r>
      <w:r w:rsidR="008D03EC">
        <w:t xml:space="preserve"> </w:t>
      </w:r>
    </w:p>
    <w:p w14:paraId="18DC3070" w14:textId="77777777" w:rsidR="003A17F7" w:rsidRDefault="003A17F7" w:rsidP="00BF676B"/>
    <w:p w14:paraId="4DAFA14D" w14:textId="3B215737" w:rsidR="00DA0D0E" w:rsidRDefault="001C2648" w:rsidP="00DA0D0E">
      <w:pPr>
        <w:jc w:val="center"/>
      </w:pPr>
      <w:r>
        <w:rPr>
          <w:noProof/>
          <w:lang w:eastAsia="nl-NL"/>
        </w:rPr>
        <w:drawing>
          <wp:inline distT="0" distB="0" distL="0" distR="0" wp14:anchorId="091B9B12" wp14:editId="01A786CE">
            <wp:extent cx="5181600" cy="1786069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837" cy="17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9456" w14:textId="329C9245" w:rsidR="0078400B" w:rsidRPr="00612D9A" w:rsidRDefault="0078400B" w:rsidP="0078400B">
      <w:pPr>
        <w:rPr>
          <w:b/>
        </w:rPr>
      </w:pPr>
    </w:p>
    <w:p w14:paraId="79DFC0C1" w14:textId="5E4C67FD" w:rsidR="00BF676B" w:rsidRDefault="00775259" w:rsidP="00757BFA">
      <w:r>
        <w:t>Verder</w:t>
      </w:r>
      <w:r w:rsidR="0078400B">
        <w:t xml:space="preserve"> worden </w:t>
      </w:r>
      <w:r>
        <w:t>er</w:t>
      </w:r>
      <w:r w:rsidR="0078400B">
        <w:t xml:space="preserve"> twee belangrijke use cases</w:t>
      </w:r>
      <w:r w:rsidR="0078400B" w:rsidRPr="000F7C41">
        <w:t xml:space="preserve"> onderkend, daar waar het individu betrokken is als actor </w:t>
      </w:r>
      <w:r w:rsidR="0078400B">
        <w:t>binnen</w:t>
      </w:r>
      <w:r w:rsidR="0078400B" w:rsidRPr="000F7C41">
        <w:t xml:space="preserve"> het proces, zoals b</w:t>
      </w:r>
      <w:r w:rsidR="0078400B">
        <w:t xml:space="preserve">ij het afnemen van </w:t>
      </w:r>
      <w:r w:rsidR="0078400B" w:rsidRPr="0078400B">
        <w:t>online les- of docentenmateriaal</w:t>
      </w:r>
      <w:r w:rsidR="0078400B" w:rsidRPr="000F7C41">
        <w:t xml:space="preserve"> en daar waar het individu niet direct bij betrokken is</w:t>
      </w:r>
      <w:r w:rsidR="0078400B">
        <w:t xml:space="preserve">, zoals administratieve processen. Deze twee use cases sluiten goed aan bij UC1 en UC2 van DSO, i.e. </w:t>
      </w:r>
      <w:r w:rsidR="0078400B" w:rsidRPr="00B069B5">
        <w:t>client credentials grant</w:t>
      </w:r>
      <w:r w:rsidR="0078400B">
        <w:t xml:space="preserve"> en OIDC </w:t>
      </w:r>
      <w:r w:rsidR="009B105D">
        <w:t>met</w:t>
      </w:r>
      <w:r w:rsidR="0078400B">
        <w:t xml:space="preserve"> authorization code grant.</w:t>
      </w:r>
    </w:p>
    <w:p w14:paraId="2505EC86" w14:textId="77777777" w:rsidR="009C1D01" w:rsidRDefault="009C1D01" w:rsidP="00757BFA"/>
    <w:p w14:paraId="3D83D509" w14:textId="373713FB" w:rsidR="00BF676B" w:rsidRDefault="006B6B22" w:rsidP="009C1D01">
      <w:r>
        <w:t>Er zijn nog vele onderzoeksvragen die me</w:t>
      </w:r>
      <w:r w:rsidR="003E2666">
        <w:t>t de toekomstvisie samenhangen. De eerste is of het</w:t>
      </w:r>
      <w:r w:rsidR="00BF676B">
        <w:t xml:space="preserve"> onderkennen van een </w:t>
      </w:r>
      <w:r w:rsidR="003E2666">
        <w:t xml:space="preserve">centrale </w:t>
      </w:r>
      <w:r w:rsidR="00BF676B">
        <w:t>hub wenselijk</w:t>
      </w:r>
      <w:r w:rsidR="003E2666">
        <w:t xml:space="preserve"> is</w:t>
      </w:r>
      <w:r w:rsidR="00BF676B">
        <w:t>, en zo ja</w:t>
      </w:r>
      <w:r w:rsidR="009B105D">
        <w:t>,</w:t>
      </w:r>
      <w:r w:rsidR="00BF676B">
        <w:t xml:space="preserve"> wat is </w:t>
      </w:r>
      <w:r w:rsidR="001C2648">
        <w:t xml:space="preserve">dan </w:t>
      </w:r>
      <w:r w:rsidR="00BF676B">
        <w:t>de impact</w:t>
      </w:r>
      <w:r w:rsidR="001C2648">
        <w:t xml:space="preserve"> op een bepaald profiel</w:t>
      </w:r>
      <w:r w:rsidR="009B105D">
        <w:t>?</w:t>
      </w:r>
      <w:r w:rsidR="00BF676B">
        <w:t xml:space="preserve"> </w:t>
      </w:r>
      <w:r w:rsidR="00B31124">
        <w:t xml:space="preserve">Met Oauth is er een AS en RS in hetzelfde domein, </w:t>
      </w:r>
      <w:r w:rsidR="00BF676B">
        <w:t>UMA</w:t>
      </w:r>
      <w:r w:rsidR="00512E3A">
        <w:rPr>
          <w:rStyle w:val="Voetnootmarkering"/>
        </w:rPr>
        <w:footnoteReference w:id="1"/>
      </w:r>
      <w:r w:rsidR="00BF676B">
        <w:t xml:space="preserve"> (</w:t>
      </w:r>
      <w:r w:rsidR="00BF676B" w:rsidRPr="00DF5A06">
        <w:t>Federated Authorization for User-Managed Access)</w:t>
      </w:r>
      <w:r w:rsidR="00B31124">
        <w:t xml:space="preserve"> ontkoppelt deze. De policy voor meerdere Resource Servers </w:t>
      </w:r>
      <w:r w:rsidR="007341E4">
        <w:t xml:space="preserve">/ sets </w:t>
      </w:r>
      <w:r w:rsidR="00DC252C">
        <w:t>kan dan bij een centrale Aut</w:t>
      </w:r>
      <w:r w:rsidR="00103923">
        <w:t>h</w:t>
      </w:r>
      <w:bookmarkStart w:id="0" w:name="_GoBack"/>
      <w:bookmarkEnd w:id="0"/>
      <w:r w:rsidR="00DC252C">
        <w:t>orization</w:t>
      </w:r>
      <w:r w:rsidR="00B31124">
        <w:t xml:space="preserve"> Server beheerd worden. Wellicht is een centrale hub (als AS) meer zinvol in de context van UMA?</w:t>
      </w:r>
    </w:p>
    <w:p w14:paraId="24009016" w14:textId="39C7852F" w:rsidR="006B6B22" w:rsidRDefault="006B6B22" w:rsidP="006B6B22"/>
    <w:p w14:paraId="364D41E7" w14:textId="3AA9C400" w:rsidR="006B6B22" w:rsidRDefault="006B6B22" w:rsidP="006B6B22">
      <w:pPr>
        <w:jc w:val="center"/>
      </w:pPr>
    </w:p>
    <w:p w14:paraId="05909FF3" w14:textId="77777777" w:rsidR="00BF676B" w:rsidRDefault="00BF676B" w:rsidP="00BF676B">
      <w:pPr>
        <w:pStyle w:val="Lijstalinea"/>
        <w:ind w:left="768"/>
      </w:pPr>
    </w:p>
    <w:p w14:paraId="2AEFE662" w14:textId="77777777" w:rsidR="00BF676B" w:rsidRPr="000F7C41" w:rsidRDefault="00BF676B" w:rsidP="00757BFA"/>
    <w:p w14:paraId="148EACE0" w14:textId="77777777" w:rsidR="000F7C41" w:rsidRPr="000F7C41" w:rsidRDefault="000F7C41" w:rsidP="00757BFA"/>
    <w:p w14:paraId="6AFA7ADC" w14:textId="77777777" w:rsidR="000F7C41" w:rsidRDefault="000F7C41" w:rsidP="00757BFA">
      <w:pPr>
        <w:rPr>
          <w:b/>
        </w:rPr>
      </w:pPr>
    </w:p>
    <w:p w14:paraId="45A19B05" w14:textId="77777777" w:rsidR="000F7C41" w:rsidRDefault="000F7C41" w:rsidP="00757BFA">
      <w:pPr>
        <w:rPr>
          <w:b/>
        </w:rPr>
      </w:pPr>
    </w:p>
    <w:p w14:paraId="172C64D2" w14:textId="77777777" w:rsidR="000F7C41" w:rsidRDefault="000F7C41" w:rsidP="00757BFA">
      <w:pPr>
        <w:rPr>
          <w:b/>
        </w:rPr>
      </w:pPr>
    </w:p>
    <w:p w14:paraId="4699A01B" w14:textId="77777777" w:rsidR="000F7C41" w:rsidRDefault="000F7C41" w:rsidP="00757BFA">
      <w:pPr>
        <w:rPr>
          <w:b/>
        </w:rPr>
      </w:pPr>
    </w:p>
    <w:p w14:paraId="0D10917E" w14:textId="7FF423B4" w:rsidR="002F542D" w:rsidRDefault="002F542D" w:rsidP="00757BFA"/>
    <w:p w14:paraId="540AB370" w14:textId="77777777" w:rsidR="002F542D" w:rsidRDefault="002F542D" w:rsidP="00757BFA"/>
    <w:p w14:paraId="69BA88E5" w14:textId="0C3C507A" w:rsidR="00400621" w:rsidRDefault="00400621" w:rsidP="00D31321"/>
    <w:sectPr w:rsidR="00400621" w:rsidSect="00B71D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DA9BE" w14:textId="77777777" w:rsidR="0097201A" w:rsidRDefault="0097201A" w:rsidP="0097201A">
      <w:r>
        <w:separator/>
      </w:r>
    </w:p>
  </w:endnote>
  <w:endnote w:type="continuationSeparator" w:id="0">
    <w:p w14:paraId="07203122" w14:textId="77777777" w:rsidR="0097201A" w:rsidRDefault="0097201A" w:rsidP="0097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9D4BC" w14:textId="77777777" w:rsidR="0097201A" w:rsidRDefault="0097201A" w:rsidP="0097201A">
      <w:r>
        <w:separator/>
      </w:r>
    </w:p>
  </w:footnote>
  <w:footnote w:type="continuationSeparator" w:id="0">
    <w:p w14:paraId="6247423F" w14:textId="77777777" w:rsidR="0097201A" w:rsidRDefault="0097201A" w:rsidP="0097201A">
      <w:r>
        <w:continuationSeparator/>
      </w:r>
    </w:p>
  </w:footnote>
  <w:footnote w:id="1">
    <w:p w14:paraId="5FC04C46" w14:textId="58053231" w:rsidR="00512E3A" w:rsidRDefault="00512E3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1" w:history="1">
        <w:r w:rsidRPr="000253B6">
          <w:rPr>
            <w:rStyle w:val="Hyperlink"/>
          </w:rPr>
          <w:t>https://kantarainitiative.org/confluence/display/uma/Home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09D3"/>
    <w:multiLevelType w:val="hybridMultilevel"/>
    <w:tmpl w:val="0D2C8E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21D0"/>
    <w:multiLevelType w:val="hybridMultilevel"/>
    <w:tmpl w:val="79B482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4DAB"/>
    <w:multiLevelType w:val="hybridMultilevel"/>
    <w:tmpl w:val="D470604C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16432EA"/>
    <w:multiLevelType w:val="hybridMultilevel"/>
    <w:tmpl w:val="C4DA822A"/>
    <w:lvl w:ilvl="0" w:tplc="20328932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E75B3"/>
    <w:multiLevelType w:val="hybridMultilevel"/>
    <w:tmpl w:val="54A46D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73014"/>
    <w:multiLevelType w:val="hybridMultilevel"/>
    <w:tmpl w:val="7E0E66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71C90"/>
    <w:multiLevelType w:val="hybridMultilevel"/>
    <w:tmpl w:val="A634835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8762A5"/>
    <w:multiLevelType w:val="hybridMultilevel"/>
    <w:tmpl w:val="2E1AF9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619A2"/>
    <w:multiLevelType w:val="hybridMultilevel"/>
    <w:tmpl w:val="2BDAD6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8698C"/>
    <w:multiLevelType w:val="hybridMultilevel"/>
    <w:tmpl w:val="B57274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F0E85"/>
    <w:multiLevelType w:val="hybridMultilevel"/>
    <w:tmpl w:val="B57274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62767"/>
    <w:multiLevelType w:val="multilevel"/>
    <w:tmpl w:val="C3FE769C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7B039F6"/>
    <w:multiLevelType w:val="hybridMultilevel"/>
    <w:tmpl w:val="A634835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9B08BF"/>
    <w:multiLevelType w:val="hybridMultilevel"/>
    <w:tmpl w:val="879A92C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8C606E"/>
    <w:multiLevelType w:val="hybridMultilevel"/>
    <w:tmpl w:val="28A805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F226D"/>
    <w:multiLevelType w:val="hybridMultilevel"/>
    <w:tmpl w:val="4EC0956C"/>
    <w:lvl w:ilvl="0" w:tplc="0413000F">
      <w:start w:val="1"/>
      <w:numFmt w:val="decimal"/>
      <w:lvlText w:val="%1."/>
      <w:lvlJc w:val="left"/>
      <w:pPr>
        <w:ind w:left="770" w:hanging="360"/>
      </w:pPr>
    </w:lvl>
    <w:lvl w:ilvl="1" w:tplc="04130019" w:tentative="1">
      <w:start w:val="1"/>
      <w:numFmt w:val="lowerLetter"/>
      <w:lvlText w:val="%2."/>
      <w:lvlJc w:val="left"/>
      <w:pPr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65F821E6"/>
    <w:multiLevelType w:val="hybridMultilevel"/>
    <w:tmpl w:val="7B2CA6F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AD2CA3"/>
    <w:multiLevelType w:val="hybridMultilevel"/>
    <w:tmpl w:val="289C54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55F2A"/>
    <w:multiLevelType w:val="hybridMultilevel"/>
    <w:tmpl w:val="1B2226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7"/>
  </w:num>
  <w:num w:numId="7">
    <w:abstractNumId w:val="3"/>
  </w:num>
  <w:num w:numId="8">
    <w:abstractNumId w:val="13"/>
  </w:num>
  <w:num w:numId="9">
    <w:abstractNumId w:val="16"/>
  </w:num>
  <w:num w:numId="10">
    <w:abstractNumId w:val="11"/>
  </w:num>
  <w:num w:numId="11">
    <w:abstractNumId w:val="11"/>
  </w:num>
  <w:num w:numId="12">
    <w:abstractNumId w:val="18"/>
  </w:num>
  <w:num w:numId="13">
    <w:abstractNumId w:val="9"/>
  </w:num>
  <w:num w:numId="14">
    <w:abstractNumId w:val="0"/>
  </w:num>
  <w:num w:numId="15">
    <w:abstractNumId w:val="5"/>
  </w:num>
  <w:num w:numId="16">
    <w:abstractNumId w:val="10"/>
  </w:num>
  <w:num w:numId="17">
    <w:abstractNumId w:val="2"/>
  </w:num>
  <w:num w:numId="18">
    <w:abstractNumId w:val="17"/>
  </w:num>
  <w:num w:numId="19">
    <w:abstractNumId w:val="15"/>
  </w:num>
  <w:num w:numId="20">
    <w:abstractNumId w:val="8"/>
  </w:num>
  <w:num w:numId="21">
    <w:abstractNumId w:val="14"/>
  </w:num>
  <w:num w:numId="22">
    <w:abstractNumId w:val="4"/>
  </w:num>
  <w:num w:numId="23">
    <w:abstractNumId w:val="11"/>
  </w:num>
  <w:num w:numId="24">
    <w:abstractNumId w:val="6"/>
  </w:num>
  <w:num w:numId="25">
    <w:abstractNumId w:val="1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25"/>
    <w:rsid w:val="00022139"/>
    <w:rsid w:val="00024742"/>
    <w:rsid w:val="0003547C"/>
    <w:rsid w:val="00041590"/>
    <w:rsid w:val="000431C2"/>
    <w:rsid w:val="0005753A"/>
    <w:rsid w:val="000678E1"/>
    <w:rsid w:val="00071047"/>
    <w:rsid w:val="000820CF"/>
    <w:rsid w:val="00084082"/>
    <w:rsid w:val="00086103"/>
    <w:rsid w:val="00092E63"/>
    <w:rsid w:val="000C263E"/>
    <w:rsid w:val="000D4EBD"/>
    <w:rsid w:val="000E6C69"/>
    <w:rsid w:val="000F7C41"/>
    <w:rsid w:val="000F7D08"/>
    <w:rsid w:val="00103923"/>
    <w:rsid w:val="00153D87"/>
    <w:rsid w:val="00155203"/>
    <w:rsid w:val="00183BA6"/>
    <w:rsid w:val="00186A04"/>
    <w:rsid w:val="001959D8"/>
    <w:rsid w:val="001C2648"/>
    <w:rsid w:val="001D6C81"/>
    <w:rsid w:val="001D7F12"/>
    <w:rsid w:val="001F64CE"/>
    <w:rsid w:val="00212599"/>
    <w:rsid w:val="002378BE"/>
    <w:rsid w:val="002442A7"/>
    <w:rsid w:val="002628C2"/>
    <w:rsid w:val="00282BDC"/>
    <w:rsid w:val="00295FA4"/>
    <w:rsid w:val="002C1037"/>
    <w:rsid w:val="002F3F20"/>
    <w:rsid w:val="002F542D"/>
    <w:rsid w:val="00311D55"/>
    <w:rsid w:val="0031516B"/>
    <w:rsid w:val="00340502"/>
    <w:rsid w:val="003438B4"/>
    <w:rsid w:val="00344433"/>
    <w:rsid w:val="0034627E"/>
    <w:rsid w:val="00361786"/>
    <w:rsid w:val="0039287F"/>
    <w:rsid w:val="003A17F7"/>
    <w:rsid w:val="003B4EFD"/>
    <w:rsid w:val="003C41D8"/>
    <w:rsid w:val="003D5E69"/>
    <w:rsid w:val="003E0F73"/>
    <w:rsid w:val="003E2666"/>
    <w:rsid w:val="00400621"/>
    <w:rsid w:val="004041D1"/>
    <w:rsid w:val="00405A1A"/>
    <w:rsid w:val="00417040"/>
    <w:rsid w:val="00440413"/>
    <w:rsid w:val="00440FC9"/>
    <w:rsid w:val="0045231E"/>
    <w:rsid w:val="00452DC0"/>
    <w:rsid w:val="00476394"/>
    <w:rsid w:val="00495AD0"/>
    <w:rsid w:val="004A3E1D"/>
    <w:rsid w:val="004C7AD1"/>
    <w:rsid w:val="004D7678"/>
    <w:rsid w:val="004E2C21"/>
    <w:rsid w:val="004F1596"/>
    <w:rsid w:val="0050750C"/>
    <w:rsid w:val="00512E3A"/>
    <w:rsid w:val="00537836"/>
    <w:rsid w:val="00546451"/>
    <w:rsid w:val="0055435F"/>
    <w:rsid w:val="00557D82"/>
    <w:rsid w:val="005708E3"/>
    <w:rsid w:val="00570FB4"/>
    <w:rsid w:val="00587098"/>
    <w:rsid w:val="0059011E"/>
    <w:rsid w:val="005C1134"/>
    <w:rsid w:val="005D5EAD"/>
    <w:rsid w:val="005D6372"/>
    <w:rsid w:val="005D65D5"/>
    <w:rsid w:val="005E107F"/>
    <w:rsid w:val="005F1584"/>
    <w:rsid w:val="005F2F63"/>
    <w:rsid w:val="00612D9A"/>
    <w:rsid w:val="006204CE"/>
    <w:rsid w:val="00631204"/>
    <w:rsid w:val="00635D84"/>
    <w:rsid w:val="0064073D"/>
    <w:rsid w:val="00657AED"/>
    <w:rsid w:val="00686D07"/>
    <w:rsid w:val="006933B5"/>
    <w:rsid w:val="00696CA8"/>
    <w:rsid w:val="006A103E"/>
    <w:rsid w:val="006B34B8"/>
    <w:rsid w:val="006B6B22"/>
    <w:rsid w:val="006F5354"/>
    <w:rsid w:val="0071080C"/>
    <w:rsid w:val="00727C11"/>
    <w:rsid w:val="007341E4"/>
    <w:rsid w:val="00757BFA"/>
    <w:rsid w:val="00775259"/>
    <w:rsid w:val="0078400B"/>
    <w:rsid w:val="007A49D0"/>
    <w:rsid w:val="007A6080"/>
    <w:rsid w:val="007D3E7D"/>
    <w:rsid w:val="007F7A58"/>
    <w:rsid w:val="00853E99"/>
    <w:rsid w:val="008A0E11"/>
    <w:rsid w:val="008B4C56"/>
    <w:rsid w:val="008D03EC"/>
    <w:rsid w:val="008F56ED"/>
    <w:rsid w:val="00900139"/>
    <w:rsid w:val="00905C51"/>
    <w:rsid w:val="009310B2"/>
    <w:rsid w:val="00951C03"/>
    <w:rsid w:val="0097201A"/>
    <w:rsid w:val="00982DDB"/>
    <w:rsid w:val="009951D4"/>
    <w:rsid w:val="00995A57"/>
    <w:rsid w:val="009B105D"/>
    <w:rsid w:val="009C1D01"/>
    <w:rsid w:val="009D16D1"/>
    <w:rsid w:val="00A141A8"/>
    <w:rsid w:val="00A52051"/>
    <w:rsid w:val="00A759C1"/>
    <w:rsid w:val="00A97DEA"/>
    <w:rsid w:val="00AB0A0B"/>
    <w:rsid w:val="00AD3325"/>
    <w:rsid w:val="00AD50F8"/>
    <w:rsid w:val="00B04933"/>
    <w:rsid w:val="00B069B5"/>
    <w:rsid w:val="00B31124"/>
    <w:rsid w:val="00B659B0"/>
    <w:rsid w:val="00B71D7D"/>
    <w:rsid w:val="00BB43D4"/>
    <w:rsid w:val="00BD0D14"/>
    <w:rsid w:val="00BE022D"/>
    <w:rsid w:val="00BF3F29"/>
    <w:rsid w:val="00BF676B"/>
    <w:rsid w:val="00C129A2"/>
    <w:rsid w:val="00C221A9"/>
    <w:rsid w:val="00C32CAF"/>
    <w:rsid w:val="00C618F7"/>
    <w:rsid w:val="00C72FBC"/>
    <w:rsid w:val="00C7510A"/>
    <w:rsid w:val="00C81CF3"/>
    <w:rsid w:val="00C87CA2"/>
    <w:rsid w:val="00C95A23"/>
    <w:rsid w:val="00CA3703"/>
    <w:rsid w:val="00CB3ABB"/>
    <w:rsid w:val="00CB765F"/>
    <w:rsid w:val="00D03074"/>
    <w:rsid w:val="00D17FF7"/>
    <w:rsid w:val="00D31321"/>
    <w:rsid w:val="00D53E69"/>
    <w:rsid w:val="00D7297A"/>
    <w:rsid w:val="00D80933"/>
    <w:rsid w:val="00D836AA"/>
    <w:rsid w:val="00DA0D0E"/>
    <w:rsid w:val="00DA1A9A"/>
    <w:rsid w:val="00DA6794"/>
    <w:rsid w:val="00DC2318"/>
    <w:rsid w:val="00DC252C"/>
    <w:rsid w:val="00DE5B27"/>
    <w:rsid w:val="00DF5A06"/>
    <w:rsid w:val="00E07752"/>
    <w:rsid w:val="00E31436"/>
    <w:rsid w:val="00E41F0C"/>
    <w:rsid w:val="00EA1608"/>
    <w:rsid w:val="00EA7CE5"/>
    <w:rsid w:val="00EC12CF"/>
    <w:rsid w:val="00EC4543"/>
    <w:rsid w:val="00ED10BF"/>
    <w:rsid w:val="00ED7011"/>
    <w:rsid w:val="00F037AD"/>
    <w:rsid w:val="00F35535"/>
    <w:rsid w:val="00F367DE"/>
    <w:rsid w:val="00F834CB"/>
    <w:rsid w:val="00F872AF"/>
    <w:rsid w:val="00F97E6C"/>
    <w:rsid w:val="00FB102A"/>
    <w:rsid w:val="00FB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F8F452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332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3325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 w:val="1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D332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000000" w:themeColor="text1"/>
      <w:sz w:val="18"/>
      <w:u w:val="single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D332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D332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D332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D332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D332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D332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3325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D3325"/>
    <w:rPr>
      <w:rFonts w:eastAsiaTheme="majorEastAsia" w:cstheme="majorBidi"/>
      <w:b/>
      <w:color w:val="000000" w:themeColor="text1"/>
      <w:sz w:val="1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D3325"/>
    <w:rPr>
      <w:rFonts w:eastAsiaTheme="majorEastAsia" w:cstheme="majorBidi"/>
      <w:color w:val="000000" w:themeColor="text1"/>
      <w:sz w:val="18"/>
      <w:u w:val="singl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D33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D33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D33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D33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D33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D33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86A04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86A04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86A04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86A04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86A04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86A04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6A04"/>
    <w:rPr>
      <w:rFonts w:ascii="Times New Roman" w:hAnsi="Times New Roman" w:cs="Times New Roman"/>
      <w:sz w:val="18"/>
      <w:szCs w:val="18"/>
    </w:rPr>
  </w:style>
  <w:style w:type="paragraph" w:styleId="Lijstalinea">
    <w:name w:val="List Paragraph"/>
    <w:basedOn w:val="Standaard"/>
    <w:uiPriority w:val="34"/>
    <w:qFormat/>
    <w:rsid w:val="00092E63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7201A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7201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7201A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97201A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82BD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82BDC"/>
  </w:style>
  <w:style w:type="paragraph" w:styleId="Voettekst">
    <w:name w:val="footer"/>
    <w:basedOn w:val="Standaard"/>
    <w:link w:val="VoettekstChar"/>
    <w:uiPriority w:val="99"/>
    <w:unhideWhenUsed/>
    <w:rsid w:val="00282BD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82BDC"/>
  </w:style>
  <w:style w:type="character" w:styleId="GevolgdeHyperlink">
    <w:name w:val="FollowedHyperlink"/>
    <w:basedOn w:val="Standaardalinea-lettertype"/>
    <w:uiPriority w:val="99"/>
    <w:semiHidden/>
    <w:unhideWhenUsed/>
    <w:rsid w:val="00452D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61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4097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kantarainitiative.org/confluence/display/uma/Home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5B06A-F643-42B3-AFDD-DCEFF6145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Kennisnet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Erwin Reinhoud</cp:lastModifiedBy>
  <cp:revision>49</cp:revision>
  <cp:lastPrinted>2016-09-02T09:19:00Z</cp:lastPrinted>
  <dcterms:created xsi:type="dcterms:W3CDTF">2018-01-15T12:42:00Z</dcterms:created>
  <dcterms:modified xsi:type="dcterms:W3CDTF">2018-01-15T15:58:00Z</dcterms:modified>
</cp:coreProperties>
</file>