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6B3A4" w14:textId="1AE2DC48" w:rsidR="007703D3" w:rsidRPr="00797ADF" w:rsidRDefault="007703D3" w:rsidP="007703D3">
      <w:pPr>
        <w:pStyle w:val="Koptekst"/>
        <w:jc w:val="right"/>
        <w:rPr>
          <w:lang w:val="nb-NO"/>
        </w:rPr>
      </w:pPr>
      <w:r>
        <w:tab/>
      </w:r>
      <w:r w:rsidR="00CC6E0B" w:rsidRPr="00797ADF">
        <w:rPr>
          <w:lang w:val="nb-NO"/>
        </w:rPr>
        <w:t>ICT/MSP (201</w:t>
      </w:r>
      <w:r w:rsidR="000B22D5" w:rsidRPr="00797ADF">
        <w:rPr>
          <w:lang w:val="nb-NO"/>
        </w:rPr>
        <w:t>8</w:t>
      </w:r>
      <w:r w:rsidR="00CC6E0B" w:rsidRPr="00797ADF">
        <w:rPr>
          <w:lang w:val="nb-NO"/>
        </w:rPr>
        <w:t xml:space="preserve">) </w:t>
      </w:r>
      <w:r w:rsidR="00D27DB5" w:rsidRPr="00797ADF">
        <w:rPr>
          <w:lang w:val="nb-NO"/>
        </w:rPr>
        <w:t>601</w:t>
      </w:r>
      <w:r w:rsidR="009154D6" w:rsidRPr="00797ADF">
        <w:rPr>
          <w:lang w:val="nb-NO"/>
        </w:rPr>
        <w:t>v1</w:t>
      </w:r>
      <w:bookmarkStart w:id="0" w:name="_GoBack"/>
      <w:bookmarkEnd w:id="0"/>
      <w:r w:rsidRPr="00797ADF">
        <w:rPr>
          <w:lang w:val="nb-NO"/>
        </w:rPr>
        <w:br/>
      </w:r>
      <w:r w:rsidR="009154D6" w:rsidRPr="00797ADF">
        <w:rPr>
          <w:lang w:val="nb-NO"/>
        </w:rPr>
        <w:t>28</w:t>
      </w:r>
      <w:r w:rsidRPr="00797ADF">
        <w:rPr>
          <w:lang w:val="nb-NO"/>
        </w:rPr>
        <w:t>/0</w:t>
      </w:r>
      <w:r w:rsidR="00E80F33" w:rsidRPr="00797ADF">
        <w:rPr>
          <w:lang w:val="nb-NO"/>
        </w:rPr>
        <w:t>5</w:t>
      </w:r>
      <w:r w:rsidRPr="00797ADF">
        <w:rPr>
          <w:lang w:val="nb-NO"/>
        </w:rPr>
        <w:t>/201</w:t>
      </w:r>
      <w:r w:rsidR="000B22D5" w:rsidRPr="00797ADF">
        <w:rPr>
          <w:lang w:val="nb-NO"/>
        </w:rPr>
        <w:t>8</w:t>
      </w:r>
    </w:p>
    <w:p w14:paraId="32C199D4" w14:textId="13593ACD" w:rsidR="007703D3" w:rsidRPr="00797ADF" w:rsidRDefault="007703D3" w:rsidP="007703D3">
      <w:pPr>
        <w:tabs>
          <w:tab w:val="left" w:pos="3915"/>
        </w:tabs>
        <w:suppressAutoHyphens/>
        <w:spacing w:after="200" w:line="276" w:lineRule="auto"/>
        <w:jc w:val="left"/>
        <w:rPr>
          <w:rFonts w:ascii="Calibri" w:eastAsia="Calibri" w:hAnsi="Calibri" w:cs="Times New Roman"/>
          <w:sz w:val="22"/>
          <w:lang w:val="nb-NO" w:eastAsia="zh-CN"/>
        </w:rPr>
      </w:pPr>
    </w:p>
    <w:p w14:paraId="48372D1C" w14:textId="77777777" w:rsidR="007703D3" w:rsidRPr="00797ADF" w:rsidRDefault="007703D3" w:rsidP="007703D3">
      <w:pPr>
        <w:pBdr>
          <w:top w:val="single" w:sz="4" w:space="1" w:color="auto" w:shadow="1"/>
          <w:left w:val="single" w:sz="4" w:space="4" w:color="auto" w:shadow="1"/>
          <w:bottom w:val="single" w:sz="4" w:space="1" w:color="auto" w:shadow="1"/>
          <w:right w:val="single" w:sz="4" w:space="4" w:color="auto" w:shadow="1"/>
        </w:pBdr>
        <w:suppressAutoHyphens/>
        <w:spacing w:after="200" w:line="276" w:lineRule="auto"/>
        <w:jc w:val="center"/>
        <w:rPr>
          <w:rFonts w:ascii="Calibri" w:eastAsia="Calibri" w:hAnsi="Calibri" w:cs="Times New Roman"/>
          <w:b/>
          <w:sz w:val="48"/>
          <w:szCs w:val="48"/>
          <w:lang w:val="nb-NO" w:eastAsia="zh-CN"/>
        </w:rPr>
      </w:pPr>
      <w:r w:rsidRPr="00797ADF">
        <w:rPr>
          <w:rFonts w:ascii="Calibri" w:eastAsia="Calibri" w:hAnsi="Calibri" w:cs="Times New Roman"/>
          <w:b/>
          <w:sz w:val="48"/>
          <w:szCs w:val="48"/>
          <w:lang w:val="nb-NO" w:eastAsia="zh-CN"/>
        </w:rPr>
        <w:t>European Multi-Stakeholder</w:t>
      </w:r>
    </w:p>
    <w:p w14:paraId="07CA75E0" w14:textId="77777777" w:rsidR="007703D3" w:rsidRPr="007703D3" w:rsidRDefault="007703D3" w:rsidP="007703D3">
      <w:pPr>
        <w:pBdr>
          <w:top w:val="single" w:sz="4" w:space="1" w:color="auto" w:shadow="1"/>
          <w:left w:val="single" w:sz="4" w:space="4" w:color="auto" w:shadow="1"/>
          <w:bottom w:val="single" w:sz="4" w:space="1" w:color="auto" w:shadow="1"/>
          <w:right w:val="single" w:sz="4" w:space="4" w:color="auto" w:shadow="1"/>
        </w:pBdr>
        <w:suppressAutoHyphens/>
        <w:spacing w:after="200" w:line="276" w:lineRule="auto"/>
        <w:jc w:val="center"/>
        <w:rPr>
          <w:rFonts w:ascii="Calibri" w:eastAsia="Calibri" w:hAnsi="Calibri" w:cs="Times New Roman"/>
          <w:b/>
          <w:sz w:val="72"/>
          <w:szCs w:val="72"/>
          <w:lang w:eastAsia="zh-CN"/>
        </w:rPr>
      </w:pPr>
      <w:r w:rsidRPr="007703D3">
        <w:rPr>
          <w:rFonts w:ascii="Calibri" w:eastAsia="Calibri" w:hAnsi="Calibri" w:cs="Times New Roman"/>
          <w:b/>
          <w:sz w:val="52"/>
          <w:szCs w:val="52"/>
          <w:lang w:eastAsia="zh-CN"/>
        </w:rPr>
        <w:t>Platf</w:t>
      </w:r>
      <w:r w:rsidRPr="007703D3">
        <w:rPr>
          <w:rFonts w:ascii="Calibri" w:eastAsia="Calibri" w:hAnsi="Calibri" w:cs="Times New Roman"/>
          <w:b/>
          <w:sz w:val="48"/>
          <w:szCs w:val="48"/>
          <w:lang w:eastAsia="zh-CN"/>
        </w:rPr>
        <w:t xml:space="preserve">orm on ICT Standardization        </w:t>
      </w:r>
    </w:p>
    <w:p w14:paraId="7D18B8A9" w14:textId="77777777" w:rsidR="007703D3" w:rsidRPr="007703D3" w:rsidRDefault="007703D3" w:rsidP="007703D3">
      <w:pPr>
        <w:autoSpaceDE w:val="0"/>
        <w:autoSpaceDN w:val="0"/>
        <w:adjustRightInd w:val="0"/>
        <w:spacing w:after="0" w:line="240" w:lineRule="auto"/>
        <w:ind w:left="3600" w:hanging="3600"/>
        <w:jc w:val="left"/>
        <w:rPr>
          <w:rFonts w:eastAsia="Calibri" w:cs="Arial"/>
          <w:b/>
          <w:color w:val="000000"/>
          <w:sz w:val="40"/>
          <w:szCs w:val="40"/>
        </w:rPr>
      </w:pPr>
    </w:p>
    <w:p w14:paraId="387124A1" w14:textId="77777777" w:rsidR="007703D3" w:rsidRPr="007703D3" w:rsidRDefault="007703D3" w:rsidP="007703D3">
      <w:pPr>
        <w:autoSpaceDE w:val="0"/>
        <w:autoSpaceDN w:val="0"/>
        <w:adjustRightInd w:val="0"/>
        <w:spacing w:after="0" w:line="240" w:lineRule="auto"/>
        <w:ind w:left="3600" w:hanging="3600"/>
        <w:jc w:val="left"/>
        <w:rPr>
          <w:rFonts w:eastAsia="Calibri" w:cs="Arial"/>
          <w:b/>
          <w:color w:val="000000"/>
          <w:sz w:val="40"/>
          <w:szCs w:val="40"/>
        </w:rPr>
      </w:pPr>
    </w:p>
    <w:p w14:paraId="67970A47" w14:textId="77777777" w:rsidR="007703D3" w:rsidRPr="007703D3" w:rsidRDefault="007703D3" w:rsidP="007703D3">
      <w:pPr>
        <w:autoSpaceDE w:val="0"/>
        <w:autoSpaceDN w:val="0"/>
        <w:adjustRightInd w:val="0"/>
        <w:spacing w:after="0" w:line="240" w:lineRule="auto"/>
        <w:ind w:left="3600" w:hanging="3600"/>
        <w:jc w:val="left"/>
        <w:rPr>
          <w:rFonts w:eastAsia="Calibri" w:cs="Arial"/>
          <w:b/>
          <w:color w:val="000000"/>
          <w:sz w:val="40"/>
          <w:szCs w:val="40"/>
        </w:rPr>
      </w:pPr>
    </w:p>
    <w:p w14:paraId="42091B03" w14:textId="4C512165" w:rsidR="00B01005" w:rsidRPr="00373E9A" w:rsidRDefault="007703D3" w:rsidP="00373E9A">
      <w:pPr>
        <w:ind w:left="3969" w:hanging="4111"/>
        <w:jc w:val="center"/>
        <w:rPr>
          <w:rFonts w:cs="Arial"/>
          <w:b/>
          <w:sz w:val="40"/>
          <w:szCs w:val="20"/>
        </w:rPr>
      </w:pPr>
      <w:r w:rsidRPr="007703D3">
        <w:rPr>
          <w:rFonts w:eastAsia="Calibri" w:cs="Arial"/>
          <w:b/>
          <w:color w:val="000000"/>
          <w:sz w:val="40"/>
          <w:szCs w:val="40"/>
        </w:rPr>
        <w:t>Title document:</w:t>
      </w:r>
      <w:r w:rsidR="00B23B8B">
        <w:rPr>
          <w:rFonts w:eastAsia="Calibri" w:cs="Arial"/>
          <w:color w:val="000000"/>
          <w:sz w:val="24"/>
          <w:szCs w:val="24"/>
        </w:rPr>
        <w:t xml:space="preserve">  </w:t>
      </w:r>
      <w:r w:rsidR="004A1C9A">
        <w:rPr>
          <w:rFonts w:eastAsia="Calibri" w:cs="Arial"/>
          <w:b/>
          <w:color w:val="000000"/>
          <w:sz w:val="40"/>
          <w:szCs w:val="40"/>
        </w:rPr>
        <w:t>OAuth</w:t>
      </w:r>
      <w:r w:rsidR="00A61B44" w:rsidRPr="00A61B44">
        <w:rPr>
          <w:rFonts w:eastAsia="Calibri" w:cs="Arial"/>
          <w:b/>
          <w:color w:val="000000"/>
          <w:sz w:val="40"/>
          <w:szCs w:val="40"/>
        </w:rPr>
        <w:t xml:space="preserve"> 2.0 authorization</w:t>
      </w:r>
      <w:r w:rsidR="00AB2077">
        <w:rPr>
          <w:rFonts w:eastAsia="Calibri" w:cs="Arial"/>
          <w:b/>
          <w:color w:val="000000"/>
          <w:sz w:val="40"/>
          <w:szCs w:val="40"/>
        </w:rPr>
        <w:t xml:space="preserve"> </w:t>
      </w:r>
      <w:r w:rsidR="00A61B44" w:rsidRPr="00A61B44">
        <w:rPr>
          <w:rFonts w:eastAsia="Calibri" w:cs="Arial"/>
          <w:b/>
          <w:color w:val="000000"/>
          <w:sz w:val="40"/>
          <w:szCs w:val="40"/>
        </w:rPr>
        <w:t>framework</w:t>
      </w:r>
      <w:r w:rsidR="00A61B44">
        <w:rPr>
          <w:rFonts w:eastAsia="Calibri" w:cs="Arial"/>
          <w:b/>
          <w:color w:val="000000"/>
          <w:sz w:val="40"/>
          <w:szCs w:val="40"/>
        </w:rPr>
        <w:t xml:space="preserve"> (IETF)</w:t>
      </w:r>
    </w:p>
    <w:p w14:paraId="50E58B4B" w14:textId="1942177A" w:rsidR="00373E9A" w:rsidRDefault="000B2DA2" w:rsidP="009154D6">
      <w:pPr>
        <w:ind w:left="3261" w:hanging="369"/>
        <w:jc w:val="center"/>
        <w:rPr>
          <w:rFonts w:cs="Arial"/>
          <w:b/>
          <w:sz w:val="40"/>
          <w:szCs w:val="20"/>
        </w:rPr>
      </w:pPr>
      <w:r>
        <w:rPr>
          <w:rFonts w:cs="Arial"/>
          <w:b/>
          <w:sz w:val="40"/>
          <w:szCs w:val="20"/>
          <w:u w:val="double"/>
        </w:rPr>
        <w:t xml:space="preserve">Final </w:t>
      </w:r>
      <w:r w:rsidR="00D27DB5">
        <w:rPr>
          <w:rFonts w:cs="Arial"/>
          <w:b/>
          <w:sz w:val="40"/>
          <w:szCs w:val="20"/>
          <w:u w:val="double"/>
        </w:rPr>
        <w:t xml:space="preserve">CAMSS </w:t>
      </w:r>
      <w:r w:rsidR="00AB2077">
        <w:rPr>
          <w:rFonts w:cs="Arial"/>
          <w:b/>
          <w:sz w:val="40"/>
          <w:szCs w:val="20"/>
          <w:u w:val="double"/>
        </w:rPr>
        <w:t>Assessment</w:t>
      </w:r>
      <w:r w:rsidR="009154D6">
        <w:rPr>
          <w:rFonts w:cs="Arial"/>
          <w:b/>
          <w:sz w:val="40"/>
          <w:szCs w:val="20"/>
          <w:u w:val="double"/>
        </w:rPr>
        <w:t xml:space="preserve"> report</w:t>
      </w:r>
      <w:r w:rsidR="00D27DB5">
        <w:rPr>
          <w:rFonts w:cs="Arial"/>
          <w:b/>
          <w:sz w:val="40"/>
          <w:szCs w:val="20"/>
          <w:u w:val="double"/>
        </w:rPr>
        <w:t xml:space="preserve"> </w:t>
      </w:r>
      <w:r w:rsidR="00D27DB5">
        <w:rPr>
          <w:rFonts w:cs="Arial"/>
          <w:b/>
          <w:sz w:val="40"/>
          <w:szCs w:val="20"/>
        </w:rPr>
        <w:t xml:space="preserve"> </w:t>
      </w:r>
    </w:p>
    <w:p w14:paraId="4F967D07" w14:textId="77777777" w:rsidR="009154D6" w:rsidRDefault="009154D6" w:rsidP="009154D6">
      <w:pPr>
        <w:ind w:left="3544" w:hanging="1276"/>
        <w:rPr>
          <w:rFonts w:eastAsia="Calibri" w:cs="Arial"/>
          <w:b/>
          <w:sz w:val="40"/>
          <w:szCs w:val="20"/>
        </w:rPr>
      </w:pPr>
    </w:p>
    <w:p w14:paraId="2F22B947" w14:textId="6F12FD15" w:rsidR="009154D6" w:rsidRDefault="009154D6" w:rsidP="009154D6">
      <w:pPr>
        <w:ind w:left="3544" w:hanging="1276"/>
        <w:rPr>
          <w:rFonts w:eastAsia="Calibri" w:cs="Arial"/>
          <w:b/>
          <w:sz w:val="40"/>
          <w:szCs w:val="20"/>
        </w:rPr>
      </w:pPr>
      <w:r w:rsidRPr="009154D6">
        <w:rPr>
          <w:rFonts w:eastAsia="Calibri" w:cs="Arial"/>
          <w:b/>
          <w:sz w:val="40"/>
          <w:szCs w:val="20"/>
        </w:rPr>
        <w:t>For validation and advice by the MSP</w:t>
      </w:r>
    </w:p>
    <w:p w14:paraId="7E3FCBE5" w14:textId="77777777" w:rsidR="007703D3" w:rsidRPr="00373E9A" w:rsidRDefault="007703D3" w:rsidP="007703D3">
      <w:pPr>
        <w:autoSpaceDE w:val="0"/>
        <w:autoSpaceDN w:val="0"/>
        <w:adjustRightInd w:val="0"/>
        <w:spacing w:after="0" w:line="240" w:lineRule="auto"/>
        <w:jc w:val="left"/>
        <w:rPr>
          <w:rFonts w:eastAsia="Calibri" w:cs="Arial"/>
          <w:b/>
          <w:color w:val="FF0000"/>
          <w:sz w:val="36"/>
          <w:szCs w:val="36"/>
        </w:rPr>
      </w:pPr>
    </w:p>
    <w:p w14:paraId="707E05FA" w14:textId="77777777" w:rsidR="007703D3" w:rsidRPr="00B01005" w:rsidRDefault="007703D3" w:rsidP="007703D3">
      <w:pPr>
        <w:suppressAutoHyphens/>
        <w:spacing w:after="200" w:line="276" w:lineRule="auto"/>
        <w:jc w:val="left"/>
        <w:rPr>
          <w:rFonts w:ascii="Calibri" w:eastAsia="Calibri" w:hAnsi="Calibri" w:cs="Times New Roman"/>
          <w:b/>
          <w:sz w:val="40"/>
          <w:szCs w:val="40"/>
          <w:lang w:val="fr-FR" w:eastAsia="zh-CN"/>
        </w:rPr>
      </w:pPr>
      <w:r w:rsidRPr="00B01005">
        <w:rPr>
          <w:rFonts w:ascii="Calibri" w:eastAsia="Calibri" w:hAnsi="Calibri" w:cs="Times New Roman"/>
          <w:b/>
          <w:sz w:val="40"/>
          <w:szCs w:val="40"/>
          <w:lang w:val="fr-FR" w:eastAsia="zh-CN"/>
        </w:rPr>
        <w:t xml:space="preserve">Document for: </w:t>
      </w:r>
    </w:p>
    <w:tbl>
      <w:tblPr>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138"/>
      </w:tblGrid>
      <w:tr w:rsidR="007703D3" w:rsidRPr="007703D3" w14:paraId="7A44C941" w14:textId="77777777" w:rsidTr="00826E60">
        <w:trPr>
          <w:trHeight w:val="477"/>
        </w:trPr>
        <w:tc>
          <w:tcPr>
            <w:tcW w:w="3888" w:type="dxa"/>
            <w:shd w:val="clear" w:color="auto" w:fill="auto"/>
          </w:tcPr>
          <w:p w14:paraId="2DB83657" w14:textId="77777777" w:rsidR="007703D3" w:rsidRPr="007703D3" w:rsidRDefault="007703D3" w:rsidP="007703D3">
            <w:pPr>
              <w:suppressAutoHyphens/>
              <w:spacing w:after="200" w:line="276" w:lineRule="auto"/>
              <w:jc w:val="left"/>
              <w:rPr>
                <w:rFonts w:ascii="Calibri" w:eastAsia="Calibri" w:hAnsi="Calibri" w:cs="Times New Roman"/>
                <w:b/>
                <w:sz w:val="36"/>
                <w:szCs w:val="36"/>
                <w:lang w:eastAsia="zh-CN"/>
              </w:rPr>
            </w:pPr>
            <w:r w:rsidRPr="007703D3">
              <w:rPr>
                <w:rFonts w:ascii="Calibri" w:eastAsia="Calibri" w:hAnsi="Calibri" w:cs="Times New Roman"/>
                <w:b/>
                <w:sz w:val="36"/>
                <w:szCs w:val="36"/>
                <w:lang w:eastAsia="zh-CN"/>
              </w:rPr>
              <w:t>Information</w:t>
            </w:r>
          </w:p>
        </w:tc>
        <w:tc>
          <w:tcPr>
            <w:tcW w:w="1138" w:type="dxa"/>
            <w:shd w:val="clear" w:color="auto" w:fill="auto"/>
          </w:tcPr>
          <w:p w14:paraId="0F097E73" w14:textId="41C36882" w:rsidR="007703D3" w:rsidRPr="007703D3" w:rsidRDefault="007703D3" w:rsidP="007703D3">
            <w:pPr>
              <w:suppressAutoHyphens/>
              <w:spacing w:after="200" w:line="276" w:lineRule="auto"/>
              <w:jc w:val="center"/>
              <w:rPr>
                <w:rFonts w:ascii="Calibri" w:eastAsia="Calibri" w:hAnsi="Calibri" w:cs="Times New Roman"/>
                <w:b/>
                <w:sz w:val="40"/>
                <w:szCs w:val="40"/>
                <w:lang w:eastAsia="zh-CN"/>
              </w:rPr>
            </w:pPr>
          </w:p>
        </w:tc>
      </w:tr>
      <w:tr w:rsidR="007703D3" w:rsidRPr="007703D3" w14:paraId="484D13E1" w14:textId="77777777" w:rsidTr="00826E60">
        <w:trPr>
          <w:trHeight w:val="462"/>
        </w:trPr>
        <w:tc>
          <w:tcPr>
            <w:tcW w:w="3888" w:type="dxa"/>
            <w:shd w:val="clear" w:color="auto" w:fill="auto"/>
          </w:tcPr>
          <w:p w14:paraId="3BE9CDC1" w14:textId="77777777" w:rsidR="007703D3" w:rsidRPr="007703D3" w:rsidRDefault="007703D3" w:rsidP="007703D3">
            <w:pPr>
              <w:suppressAutoHyphens/>
              <w:spacing w:after="200" w:line="276" w:lineRule="auto"/>
              <w:jc w:val="left"/>
              <w:rPr>
                <w:rFonts w:ascii="Calibri" w:eastAsia="Calibri" w:hAnsi="Calibri" w:cs="Times New Roman"/>
                <w:b/>
                <w:sz w:val="36"/>
                <w:szCs w:val="36"/>
                <w:lang w:eastAsia="zh-CN"/>
              </w:rPr>
            </w:pPr>
            <w:r w:rsidRPr="007703D3">
              <w:rPr>
                <w:rFonts w:ascii="Calibri" w:eastAsia="Calibri" w:hAnsi="Calibri" w:cs="Times New Roman"/>
                <w:b/>
                <w:sz w:val="36"/>
                <w:szCs w:val="36"/>
                <w:lang w:eastAsia="zh-CN"/>
              </w:rPr>
              <w:t>Decision</w:t>
            </w:r>
          </w:p>
        </w:tc>
        <w:tc>
          <w:tcPr>
            <w:tcW w:w="1138" w:type="dxa"/>
            <w:shd w:val="clear" w:color="auto" w:fill="auto"/>
          </w:tcPr>
          <w:p w14:paraId="13874ACB" w14:textId="242B4723" w:rsidR="007703D3" w:rsidRPr="007703D3" w:rsidRDefault="009154D6" w:rsidP="007703D3">
            <w:pPr>
              <w:suppressAutoHyphens/>
              <w:spacing w:after="200" w:line="276" w:lineRule="auto"/>
              <w:jc w:val="center"/>
              <w:rPr>
                <w:rFonts w:ascii="Calibri" w:eastAsia="Calibri" w:hAnsi="Calibri" w:cs="Times New Roman"/>
                <w:b/>
                <w:sz w:val="40"/>
                <w:szCs w:val="40"/>
                <w:lang w:eastAsia="zh-CN"/>
              </w:rPr>
            </w:pPr>
            <w:r w:rsidRPr="007703D3">
              <w:rPr>
                <w:rFonts w:ascii="Calibri" w:eastAsia="Calibri" w:hAnsi="Calibri" w:cs="Times New Roman"/>
                <w:b/>
                <w:sz w:val="40"/>
                <w:szCs w:val="40"/>
                <w:lang w:eastAsia="zh-CN"/>
              </w:rPr>
              <w:sym w:font="Wingdings 2" w:char="F050"/>
            </w:r>
          </w:p>
        </w:tc>
      </w:tr>
      <w:tr w:rsidR="007703D3" w:rsidRPr="007703D3" w14:paraId="4BD7CC34" w14:textId="77777777" w:rsidTr="00826E60">
        <w:trPr>
          <w:trHeight w:val="477"/>
        </w:trPr>
        <w:tc>
          <w:tcPr>
            <w:tcW w:w="3888" w:type="dxa"/>
            <w:shd w:val="clear" w:color="auto" w:fill="auto"/>
          </w:tcPr>
          <w:p w14:paraId="5000792D" w14:textId="77777777" w:rsidR="007703D3" w:rsidRPr="007703D3" w:rsidRDefault="007703D3" w:rsidP="007703D3">
            <w:pPr>
              <w:suppressAutoHyphens/>
              <w:spacing w:after="0" w:line="276" w:lineRule="auto"/>
              <w:jc w:val="left"/>
              <w:rPr>
                <w:rFonts w:ascii="Calibri" w:eastAsia="Calibri" w:hAnsi="Calibri" w:cs="Times New Roman"/>
                <w:b/>
                <w:sz w:val="36"/>
                <w:szCs w:val="36"/>
                <w:lang w:eastAsia="zh-CN"/>
              </w:rPr>
            </w:pPr>
            <w:r w:rsidRPr="007703D3">
              <w:rPr>
                <w:rFonts w:ascii="Calibri" w:eastAsia="Calibri" w:hAnsi="Calibri" w:cs="Times New Roman"/>
                <w:b/>
                <w:sz w:val="36"/>
                <w:szCs w:val="36"/>
                <w:lang w:eastAsia="zh-CN"/>
              </w:rPr>
              <w:t>Discussion</w:t>
            </w:r>
          </w:p>
        </w:tc>
        <w:tc>
          <w:tcPr>
            <w:tcW w:w="1138" w:type="dxa"/>
            <w:shd w:val="clear" w:color="auto" w:fill="auto"/>
          </w:tcPr>
          <w:p w14:paraId="3D359667" w14:textId="06324772" w:rsidR="007703D3" w:rsidRPr="007703D3" w:rsidRDefault="007703D3" w:rsidP="007703D3">
            <w:pPr>
              <w:suppressAutoHyphens/>
              <w:spacing w:after="200" w:line="276" w:lineRule="auto"/>
              <w:jc w:val="center"/>
              <w:rPr>
                <w:rFonts w:ascii="Calibri" w:eastAsia="Calibri" w:hAnsi="Calibri" w:cs="Times New Roman"/>
                <w:b/>
                <w:sz w:val="40"/>
                <w:szCs w:val="40"/>
                <w:lang w:eastAsia="zh-CN"/>
              </w:rPr>
            </w:pPr>
          </w:p>
        </w:tc>
      </w:tr>
    </w:tbl>
    <w:p w14:paraId="30C1B81D" w14:textId="77777777" w:rsidR="007703D3" w:rsidRPr="007703D3" w:rsidRDefault="007703D3" w:rsidP="007703D3">
      <w:pPr>
        <w:suppressAutoHyphens/>
        <w:spacing w:after="200" w:line="276" w:lineRule="auto"/>
        <w:jc w:val="left"/>
        <w:rPr>
          <w:rFonts w:ascii="Calibri" w:eastAsia="Calibri" w:hAnsi="Calibri" w:cs="Times New Roman"/>
          <w:b/>
          <w:sz w:val="40"/>
          <w:szCs w:val="40"/>
          <w:lang w:eastAsia="zh-CN"/>
        </w:rPr>
      </w:pPr>
    </w:p>
    <w:p w14:paraId="12C1067B" w14:textId="77777777" w:rsidR="007703D3" w:rsidRPr="007703D3" w:rsidRDefault="007703D3" w:rsidP="007703D3">
      <w:pPr>
        <w:suppressAutoHyphens/>
        <w:spacing w:after="200" w:line="276" w:lineRule="auto"/>
        <w:jc w:val="left"/>
        <w:rPr>
          <w:rFonts w:ascii="Calibri" w:eastAsia="Calibri" w:hAnsi="Calibri" w:cs="Times New Roman"/>
          <w:b/>
          <w:sz w:val="40"/>
          <w:szCs w:val="40"/>
          <w:lang w:eastAsia="zh-CN"/>
        </w:rPr>
      </w:pPr>
    </w:p>
    <w:p w14:paraId="12225D46" w14:textId="77777777" w:rsidR="007703D3" w:rsidRPr="007703D3" w:rsidRDefault="007703D3" w:rsidP="007703D3">
      <w:pPr>
        <w:suppressAutoHyphens/>
        <w:spacing w:after="200" w:line="276" w:lineRule="auto"/>
        <w:jc w:val="center"/>
        <w:rPr>
          <w:rFonts w:ascii="Calibri" w:eastAsia="Calibri" w:hAnsi="Calibri" w:cs="Times New Roman"/>
          <w:b/>
          <w:sz w:val="72"/>
          <w:szCs w:val="72"/>
          <w:lang w:eastAsia="zh-CN"/>
        </w:rPr>
      </w:pPr>
    </w:p>
    <w:p w14:paraId="4B610FEF" w14:textId="77777777" w:rsidR="007703D3" w:rsidRPr="007703D3" w:rsidRDefault="007703D3" w:rsidP="007703D3">
      <w:pPr>
        <w:suppressAutoHyphens/>
        <w:spacing w:after="200" w:line="276" w:lineRule="auto"/>
        <w:jc w:val="left"/>
        <w:rPr>
          <w:rFonts w:ascii="Times New Roman" w:eastAsia="Calibri" w:hAnsi="Times New Roman" w:cs="Times New Roman"/>
          <w:sz w:val="24"/>
          <w:szCs w:val="24"/>
          <w:lang w:eastAsia="zh-CN"/>
        </w:rPr>
      </w:pPr>
    </w:p>
    <w:p w14:paraId="697BE523" w14:textId="65AD24EE" w:rsidR="007703D3" w:rsidRPr="009154D6" w:rsidRDefault="007703D3" w:rsidP="007703D3">
      <w:pPr>
        <w:jc w:val="left"/>
        <w:rPr>
          <w:rFonts w:cs="Arial"/>
          <w:b/>
          <w:sz w:val="24"/>
          <w:szCs w:val="20"/>
          <w:u w:val="single"/>
          <w:lang w:val="fr-FR"/>
        </w:rPr>
      </w:pPr>
      <w:r w:rsidRPr="009154D6">
        <w:rPr>
          <w:rFonts w:ascii="Calibri" w:eastAsia="Calibri" w:hAnsi="Calibri" w:cs="Times New Roman"/>
          <w:b/>
          <w:sz w:val="40"/>
          <w:szCs w:val="40"/>
          <w:lang w:val="fr-FR" w:eastAsia="zh-CN"/>
        </w:rPr>
        <w:t>Email</w:t>
      </w:r>
      <w:r w:rsidRPr="009154D6">
        <w:rPr>
          <w:rFonts w:ascii="Calibri" w:eastAsia="Calibri" w:hAnsi="Calibri" w:cs="Times New Roman"/>
          <w:sz w:val="48"/>
          <w:szCs w:val="48"/>
          <w:lang w:val="fr-FR" w:eastAsia="zh-CN"/>
        </w:rPr>
        <w:t>:</w:t>
      </w:r>
      <w:r w:rsidRPr="009154D6">
        <w:rPr>
          <w:rFonts w:ascii="Calibri" w:eastAsia="Calibri" w:hAnsi="Calibri" w:cs="Times New Roman"/>
          <w:b/>
          <w:sz w:val="44"/>
          <w:szCs w:val="44"/>
          <w:lang w:val="fr-FR" w:eastAsia="zh-CN"/>
        </w:rPr>
        <w:t xml:space="preserve"> </w:t>
      </w:r>
      <w:hyperlink r:id="rId11" w:history="1">
        <w:r w:rsidRPr="009154D6">
          <w:rPr>
            <w:rFonts w:ascii="Calibri" w:eastAsia="Calibri" w:hAnsi="Calibri" w:cs="Times New Roman"/>
            <w:color w:val="1F497D"/>
            <w:sz w:val="44"/>
            <w:szCs w:val="44"/>
            <w:lang w:val="fr-FR" w:eastAsia="zh-CN"/>
          </w:rPr>
          <w:t>ec-ict-std-platform@ec.europa.eu</w:t>
        </w:r>
      </w:hyperlink>
      <w:r w:rsidRPr="009154D6">
        <w:rPr>
          <w:rFonts w:cs="Arial"/>
          <w:b/>
          <w:sz w:val="24"/>
          <w:szCs w:val="20"/>
          <w:u w:val="single"/>
          <w:lang w:val="fr-FR"/>
        </w:rPr>
        <w:br w:type="page"/>
      </w:r>
    </w:p>
    <w:p w14:paraId="15A84673" w14:textId="6780BD0F" w:rsidR="00222D79" w:rsidRPr="00222D79" w:rsidRDefault="00222D79" w:rsidP="00647C04">
      <w:pPr>
        <w:jc w:val="center"/>
        <w:rPr>
          <w:rFonts w:cs="Arial"/>
          <w:b/>
          <w:sz w:val="32"/>
          <w:szCs w:val="20"/>
        </w:rPr>
      </w:pPr>
      <w:r w:rsidRPr="00222D79">
        <w:rPr>
          <w:rFonts w:cs="Arial"/>
          <w:b/>
          <w:sz w:val="40"/>
          <w:szCs w:val="20"/>
        </w:rPr>
        <w:lastRenderedPageBreak/>
        <w:t>CAMSS ASSESSEMENT REPORT</w:t>
      </w:r>
    </w:p>
    <w:p w14:paraId="15A84678" w14:textId="5EEE9448" w:rsidR="00222D79" w:rsidRDefault="00222D79" w:rsidP="00222D79">
      <w:pPr>
        <w:jc w:val="center"/>
        <w:rPr>
          <w:rFonts w:cs="Arial"/>
          <w:b/>
          <w:sz w:val="24"/>
          <w:szCs w:val="20"/>
        </w:rPr>
      </w:pPr>
      <w:r w:rsidRPr="00222D79">
        <w:rPr>
          <w:rFonts w:cs="Arial"/>
          <w:b/>
          <w:sz w:val="24"/>
          <w:szCs w:val="20"/>
        </w:rPr>
        <w:t xml:space="preserve">Technical Specification: </w:t>
      </w:r>
      <w:r w:rsidR="004A1C9A">
        <w:rPr>
          <w:rFonts w:cs="Arial"/>
          <w:b/>
          <w:sz w:val="24"/>
          <w:szCs w:val="20"/>
        </w:rPr>
        <w:t>OAuth</w:t>
      </w:r>
      <w:r w:rsidR="004D48FD">
        <w:rPr>
          <w:rFonts w:cs="Arial"/>
          <w:b/>
          <w:sz w:val="24"/>
          <w:szCs w:val="20"/>
        </w:rPr>
        <w:t xml:space="preserve"> 2.0</w:t>
      </w:r>
      <w:r w:rsidR="00647C04">
        <w:rPr>
          <w:rFonts w:cs="Arial"/>
          <w:b/>
          <w:sz w:val="24"/>
          <w:szCs w:val="20"/>
        </w:rPr>
        <w:t xml:space="preserve"> (</w:t>
      </w:r>
      <w:r w:rsidR="009C0836">
        <w:rPr>
          <w:rFonts w:cs="Arial"/>
          <w:b/>
          <w:sz w:val="24"/>
          <w:szCs w:val="20"/>
        </w:rPr>
        <w:t>IETF</w:t>
      </w:r>
      <w:r w:rsidR="00647C04">
        <w:rPr>
          <w:rFonts w:cs="Arial"/>
          <w:b/>
          <w:sz w:val="24"/>
          <w:szCs w:val="20"/>
        </w:rPr>
        <w:t>)</w:t>
      </w:r>
    </w:p>
    <w:p w14:paraId="0E5D9DB0" w14:textId="3E656A97" w:rsidR="00B01005" w:rsidRDefault="009154D6">
      <w:pPr>
        <w:rPr>
          <w:rFonts w:cs="Arial"/>
          <w:b/>
          <w:sz w:val="24"/>
          <w:szCs w:val="20"/>
          <w:u w:val="single"/>
        </w:rPr>
      </w:pPr>
      <w:r>
        <w:rPr>
          <w:rFonts w:ascii="Times New Roman" w:eastAsia="Times New Roman" w:hAnsi="Times New Roman" w:cs="Times New Roman"/>
          <w:sz w:val="24"/>
          <w:szCs w:val="20"/>
        </w:rPr>
        <w:t>This document is submitted to the MSP members by correspondence for consultation with a view to expressing advice in accordance with Articles</w:t>
      </w:r>
      <w:r>
        <w:rPr>
          <w:rFonts w:ascii="Times New Roman" w:eastAsia="Times New Roman" w:hAnsi="Times New Roman" w:cs="Times New Roman"/>
          <w:b/>
          <w:sz w:val="24"/>
          <w:szCs w:val="20"/>
          <w:u w:val="single"/>
        </w:rPr>
        <w:t xml:space="preserve"> 13 and 14 of Regulation EC 1025/2012</w:t>
      </w:r>
      <w:r>
        <w:rPr>
          <w:rFonts w:ascii="Times New Roman" w:eastAsia="Times New Roman" w:hAnsi="Times New Roman" w:cs="Times New Roman"/>
          <w:sz w:val="24"/>
          <w:szCs w:val="20"/>
          <w:u w:val="single"/>
        </w:rPr>
        <w:t xml:space="preserve"> on the identification of</w:t>
      </w:r>
      <w:r w:rsidRPr="009154D6">
        <w:t xml:space="preserve"> </w:t>
      </w:r>
      <w:r w:rsidRPr="009154D6">
        <w:rPr>
          <w:rFonts w:ascii="Times New Roman" w:eastAsia="Times New Roman" w:hAnsi="Times New Roman" w:cs="Times New Roman"/>
          <w:sz w:val="24"/>
          <w:szCs w:val="20"/>
          <w:u w:val="single"/>
        </w:rPr>
        <w:t>OAuth 2.0</w:t>
      </w:r>
      <w:r>
        <w:rPr>
          <w:rFonts w:ascii="Times New Roman" w:eastAsia="Times New Roman" w:hAnsi="Times New Roman" w:cs="Times New Roman"/>
          <w:sz w:val="24"/>
          <w:szCs w:val="20"/>
          <w:u w:val="single"/>
        </w:rPr>
        <w:t>.</w:t>
      </w:r>
    </w:p>
    <w:p w14:paraId="59CC87EA" w14:textId="77777777" w:rsidR="009154D6" w:rsidRDefault="009154D6" w:rsidP="00D27DB5">
      <w:pPr>
        <w:pStyle w:val="Lijstalinea"/>
        <w:spacing w:after="240" w:line="240" w:lineRule="auto"/>
        <w:ind w:left="0"/>
        <w:rPr>
          <w:rFonts w:ascii="Times New Roman" w:eastAsia="Times New Roman" w:hAnsi="Times New Roman" w:cs="Times New Roman"/>
          <w:sz w:val="24"/>
          <w:szCs w:val="20"/>
        </w:rPr>
      </w:pPr>
    </w:p>
    <w:p w14:paraId="6FDB9658" w14:textId="1B610ABF" w:rsidR="00E320A1" w:rsidRDefault="00750B13" w:rsidP="00D27DB5">
      <w:pPr>
        <w:pStyle w:val="Lijstalinea"/>
        <w:spacing w:after="240" w:line="240" w:lineRule="auto"/>
        <w:ind w:left="0"/>
        <w:rPr>
          <w:rFonts w:ascii="Times New Roman" w:eastAsia="Times New Roman" w:hAnsi="Times New Roman" w:cs="Times New Roman"/>
          <w:sz w:val="24"/>
          <w:szCs w:val="20"/>
        </w:rPr>
      </w:pPr>
      <w:r>
        <w:rPr>
          <w:rFonts w:ascii="Times New Roman" w:eastAsia="Times New Roman" w:hAnsi="Times New Roman" w:cs="Times New Roman"/>
          <w:sz w:val="24"/>
          <w:szCs w:val="20"/>
        </w:rPr>
        <w:t>T</w:t>
      </w:r>
      <w:r w:rsidR="00083AF9" w:rsidRPr="00B01005">
        <w:rPr>
          <w:rFonts w:ascii="Times New Roman" w:eastAsia="Times New Roman" w:hAnsi="Times New Roman" w:cs="Times New Roman"/>
          <w:sz w:val="24"/>
          <w:szCs w:val="20"/>
        </w:rPr>
        <w:t xml:space="preserve">he responsibility of advising the Commission on whether the technical specifications should be identified remains </w:t>
      </w:r>
      <w:r w:rsidR="00083AF9">
        <w:rPr>
          <w:rFonts w:ascii="Times New Roman" w:eastAsia="Times New Roman" w:hAnsi="Times New Roman" w:cs="Times New Roman"/>
          <w:sz w:val="24"/>
          <w:szCs w:val="20"/>
        </w:rPr>
        <w:t>with</w:t>
      </w:r>
      <w:r w:rsidR="00083AF9" w:rsidRPr="00B01005">
        <w:rPr>
          <w:rFonts w:ascii="Times New Roman" w:eastAsia="Times New Roman" w:hAnsi="Times New Roman" w:cs="Times New Roman"/>
          <w:sz w:val="24"/>
          <w:szCs w:val="20"/>
        </w:rPr>
        <w:t xml:space="preserve"> the MSP.</w:t>
      </w:r>
      <w:r w:rsidR="00E320A1">
        <w:rPr>
          <w:rFonts w:ascii="Times New Roman" w:eastAsia="Times New Roman" w:hAnsi="Times New Roman" w:cs="Times New Roman"/>
          <w:sz w:val="24"/>
          <w:szCs w:val="20"/>
        </w:rPr>
        <w:t xml:space="preserve"> </w:t>
      </w:r>
    </w:p>
    <w:p w14:paraId="04364876" w14:textId="77777777" w:rsidR="00236A1C" w:rsidRPr="00B01005" w:rsidRDefault="00236A1C" w:rsidP="00D27DB5">
      <w:pPr>
        <w:pStyle w:val="Lijstalinea"/>
        <w:spacing w:after="240" w:line="240" w:lineRule="auto"/>
        <w:ind w:left="0"/>
        <w:rPr>
          <w:rFonts w:ascii="Times New Roman" w:eastAsia="Times New Roman" w:hAnsi="Times New Roman" w:cs="Times New Roman"/>
          <w:sz w:val="24"/>
          <w:szCs w:val="20"/>
        </w:rPr>
      </w:pPr>
    </w:p>
    <w:p w14:paraId="74C83543" w14:textId="633C8B10" w:rsidR="00373E9A" w:rsidRPr="00D27DB5" w:rsidRDefault="004A1C9A" w:rsidP="00D27DB5">
      <w:pPr>
        <w:pStyle w:val="Lijstalinea"/>
        <w:spacing w:after="240" w:line="240" w:lineRule="auto"/>
        <w:ind w:left="0"/>
        <w:rPr>
          <w:rFonts w:ascii="Times New Roman" w:eastAsia="Times New Roman" w:hAnsi="Times New Roman" w:cs="Times New Roman"/>
          <w:b/>
          <w:sz w:val="24"/>
          <w:szCs w:val="20"/>
        </w:rPr>
      </w:pPr>
      <w:r w:rsidRPr="00D27DB5">
        <w:rPr>
          <w:rFonts w:ascii="Times New Roman" w:eastAsia="Times New Roman" w:hAnsi="Times New Roman" w:cs="Times New Roman"/>
          <w:b/>
          <w:sz w:val="24"/>
          <w:szCs w:val="20"/>
        </w:rPr>
        <w:t>OAuth</w:t>
      </w:r>
      <w:r w:rsidR="004D48FD" w:rsidRPr="00D27DB5">
        <w:rPr>
          <w:rFonts w:ascii="Times New Roman" w:eastAsia="Times New Roman" w:hAnsi="Times New Roman" w:cs="Times New Roman"/>
          <w:b/>
          <w:sz w:val="24"/>
          <w:szCs w:val="20"/>
        </w:rPr>
        <w:t xml:space="preserve"> 2.0</w:t>
      </w:r>
      <w:r w:rsidR="00186EBC" w:rsidRPr="00D27DB5">
        <w:rPr>
          <w:rFonts w:ascii="Times New Roman" w:eastAsia="Times New Roman" w:hAnsi="Times New Roman" w:cs="Times New Roman"/>
          <w:b/>
          <w:sz w:val="24"/>
          <w:szCs w:val="20"/>
        </w:rPr>
        <w:t xml:space="preserve"> </w:t>
      </w:r>
      <w:r w:rsidR="00373E9A" w:rsidRPr="00D27DB5">
        <w:rPr>
          <w:rFonts w:ascii="Times New Roman" w:eastAsia="Times New Roman" w:hAnsi="Times New Roman" w:cs="Times New Roman"/>
          <w:b/>
          <w:sz w:val="24"/>
          <w:szCs w:val="20"/>
        </w:rPr>
        <w:t>ha</w:t>
      </w:r>
      <w:r w:rsidR="00731D63" w:rsidRPr="00D27DB5">
        <w:rPr>
          <w:rFonts w:ascii="Times New Roman" w:eastAsia="Times New Roman" w:hAnsi="Times New Roman" w:cs="Times New Roman"/>
          <w:b/>
          <w:sz w:val="24"/>
          <w:szCs w:val="20"/>
        </w:rPr>
        <w:t>s</w:t>
      </w:r>
      <w:r w:rsidR="00373E9A" w:rsidRPr="00D27DB5">
        <w:rPr>
          <w:rFonts w:ascii="Times New Roman" w:eastAsia="Times New Roman" w:hAnsi="Times New Roman" w:cs="Times New Roman"/>
          <w:b/>
          <w:sz w:val="24"/>
          <w:szCs w:val="20"/>
        </w:rPr>
        <w:t xml:space="preserve"> </w:t>
      </w:r>
      <w:r w:rsidR="00186EBC" w:rsidRPr="00D27DB5">
        <w:rPr>
          <w:rFonts w:ascii="Times New Roman" w:eastAsia="Times New Roman" w:hAnsi="Times New Roman" w:cs="Times New Roman"/>
          <w:b/>
          <w:sz w:val="24"/>
          <w:szCs w:val="20"/>
        </w:rPr>
        <w:t xml:space="preserve">been </w:t>
      </w:r>
      <w:r w:rsidR="0059689A" w:rsidRPr="00D27DB5">
        <w:rPr>
          <w:rFonts w:ascii="Times New Roman" w:eastAsia="Times New Roman" w:hAnsi="Times New Roman" w:cs="Times New Roman"/>
          <w:b/>
          <w:sz w:val="24"/>
          <w:szCs w:val="20"/>
        </w:rPr>
        <w:t xml:space="preserve">positively </w:t>
      </w:r>
      <w:r w:rsidR="00186EBC" w:rsidRPr="00D27DB5">
        <w:rPr>
          <w:rFonts w:ascii="Times New Roman" w:eastAsia="Times New Roman" w:hAnsi="Times New Roman" w:cs="Times New Roman"/>
          <w:b/>
          <w:sz w:val="24"/>
          <w:szCs w:val="20"/>
        </w:rPr>
        <w:t>evaluated</w:t>
      </w:r>
      <w:r w:rsidR="00373E9A" w:rsidRPr="00D27DB5">
        <w:rPr>
          <w:rFonts w:ascii="Times New Roman" w:eastAsia="Times New Roman" w:hAnsi="Times New Roman" w:cs="Times New Roman"/>
          <w:b/>
          <w:sz w:val="24"/>
          <w:szCs w:val="20"/>
        </w:rPr>
        <w:t xml:space="preserve"> by the</w:t>
      </w:r>
      <w:r w:rsidR="00186EBC" w:rsidRPr="00D27DB5">
        <w:rPr>
          <w:rFonts w:ascii="Times New Roman" w:eastAsia="Times New Roman" w:hAnsi="Times New Roman" w:cs="Times New Roman"/>
          <w:b/>
          <w:sz w:val="24"/>
          <w:szCs w:val="20"/>
        </w:rPr>
        <w:t xml:space="preserve"> CAMSS team</w:t>
      </w:r>
      <w:r w:rsidR="009154D6" w:rsidRPr="009154D6">
        <w:t xml:space="preserve"> </w:t>
      </w:r>
      <w:r w:rsidR="009154D6" w:rsidRPr="009154D6">
        <w:rPr>
          <w:rFonts w:ascii="Times New Roman" w:eastAsia="Times New Roman" w:hAnsi="Times New Roman" w:cs="Times New Roman"/>
          <w:b/>
          <w:sz w:val="24"/>
          <w:szCs w:val="20"/>
        </w:rPr>
        <w:t>following the MSP streamlined evaluation process (document ICT/MSP</w:t>
      </w:r>
      <w:r w:rsidR="00236A1C">
        <w:rPr>
          <w:rFonts w:ascii="Times New Roman" w:eastAsia="Times New Roman" w:hAnsi="Times New Roman" w:cs="Times New Roman"/>
          <w:b/>
          <w:sz w:val="24"/>
          <w:szCs w:val="20"/>
        </w:rPr>
        <w:t xml:space="preserve"> </w:t>
      </w:r>
      <w:r w:rsidR="009154D6" w:rsidRPr="009154D6">
        <w:rPr>
          <w:rFonts w:ascii="Times New Roman" w:eastAsia="Times New Roman" w:hAnsi="Times New Roman" w:cs="Times New Roman"/>
          <w:b/>
          <w:sz w:val="24"/>
          <w:szCs w:val="20"/>
        </w:rPr>
        <w:t>(2018) 014a rev 1)</w:t>
      </w:r>
      <w:r w:rsidR="00373E9A" w:rsidRPr="00D27DB5">
        <w:rPr>
          <w:rFonts w:ascii="Times New Roman" w:eastAsia="Times New Roman" w:hAnsi="Times New Roman" w:cs="Times New Roman"/>
          <w:b/>
          <w:sz w:val="24"/>
          <w:szCs w:val="20"/>
        </w:rPr>
        <w:t>.</w:t>
      </w:r>
    </w:p>
    <w:p w14:paraId="3FB0415A" w14:textId="066029D3" w:rsidR="00373E9A" w:rsidRPr="00373E9A" w:rsidRDefault="00186EBC" w:rsidP="00373E9A">
      <w:pPr>
        <w:spacing w:after="24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It is believed</w:t>
      </w:r>
      <w:r w:rsidR="00373E9A" w:rsidRPr="00373E9A">
        <w:rPr>
          <w:rFonts w:ascii="Times New Roman" w:eastAsia="Times New Roman" w:hAnsi="Times New Roman" w:cs="Times New Roman"/>
          <w:sz w:val="24"/>
          <w:szCs w:val="20"/>
        </w:rPr>
        <w:t xml:space="preserve"> that as such </w:t>
      </w:r>
      <w:r w:rsidR="004A1C9A">
        <w:rPr>
          <w:rFonts w:ascii="Times New Roman" w:eastAsia="Times New Roman" w:hAnsi="Times New Roman" w:cs="Times New Roman"/>
          <w:sz w:val="24"/>
          <w:szCs w:val="20"/>
        </w:rPr>
        <w:t>OAuth</w:t>
      </w:r>
      <w:r w:rsidR="004D48FD">
        <w:rPr>
          <w:rFonts w:ascii="Times New Roman" w:eastAsia="Times New Roman" w:hAnsi="Times New Roman" w:cs="Times New Roman"/>
          <w:sz w:val="24"/>
          <w:szCs w:val="20"/>
        </w:rPr>
        <w:t xml:space="preserve"> 2.0</w:t>
      </w:r>
      <w:r w:rsidR="00154816" w:rsidRPr="00154816">
        <w:rPr>
          <w:rFonts w:ascii="Times New Roman" w:eastAsia="Times New Roman" w:hAnsi="Times New Roman" w:cs="Times New Roman"/>
          <w:sz w:val="24"/>
          <w:szCs w:val="20"/>
        </w:rPr>
        <w:t xml:space="preserve"> </w:t>
      </w:r>
      <w:r w:rsidR="00154816">
        <w:rPr>
          <w:rFonts w:ascii="Times New Roman" w:eastAsia="Times New Roman" w:hAnsi="Times New Roman" w:cs="Times New Roman"/>
          <w:sz w:val="24"/>
          <w:szCs w:val="20"/>
        </w:rPr>
        <w:t xml:space="preserve">developed by </w:t>
      </w:r>
      <w:r w:rsidR="009C0836">
        <w:rPr>
          <w:rFonts w:ascii="Times New Roman" w:eastAsia="Times New Roman" w:hAnsi="Times New Roman" w:cs="Times New Roman"/>
          <w:sz w:val="24"/>
          <w:szCs w:val="20"/>
        </w:rPr>
        <w:t>IETF</w:t>
      </w:r>
      <w:r w:rsidR="00B36E3F">
        <w:rPr>
          <w:rFonts w:ascii="Times New Roman" w:eastAsia="Times New Roman" w:hAnsi="Times New Roman" w:cs="Times New Roman"/>
          <w:sz w:val="24"/>
          <w:szCs w:val="20"/>
        </w:rPr>
        <w:t xml:space="preserve"> </w:t>
      </w:r>
      <w:r w:rsidR="00373E9A" w:rsidRPr="00373E9A">
        <w:rPr>
          <w:rFonts w:ascii="Times New Roman" w:eastAsia="Times New Roman" w:hAnsi="Times New Roman" w:cs="Times New Roman"/>
          <w:sz w:val="24"/>
          <w:szCs w:val="20"/>
        </w:rPr>
        <w:t>complies with the requirements for the identification of ICT technical specifications set by Annex II of Regulation (EU) No. 1025/2012.</w:t>
      </w:r>
    </w:p>
    <w:p w14:paraId="26BAAC0A" w14:textId="77777777" w:rsidR="00236A1C" w:rsidRDefault="00D27DB5" w:rsidP="009154D6">
      <w:pPr>
        <w:spacing w:after="24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In accordance with step </w:t>
      </w:r>
      <w:r w:rsidR="009154D6">
        <w:rPr>
          <w:rFonts w:ascii="Times New Roman" w:eastAsia="Times New Roman" w:hAnsi="Times New Roman" w:cs="Times New Roman"/>
          <w:sz w:val="24"/>
          <w:szCs w:val="20"/>
        </w:rPr>
        <w:t>3</w:t>
      </w:r>
      <w:r w:rsidRPr="00D27DB5">
        <w:rPr>
          <w:rFonts w:ascii="Times New Roman" w:eastAsia="Times New Roman" w:hAnsi="Times New Roman" w:cs="Times New Roman"/>
          <w:sz w:val="24"/>
          <w:szCs w:val="20"/>
        </w:rPr>
        <w:t xml:space="preserve"> of the streamlined evaluation process</w:t>
      </w:r>
      <w:r>
        <w:rPr>
          <w:rFonts w:ascii="Times New Roman" w:eastAsia="Times New Roman" w:hAnsi="Times New Roman" w:cs="Times New Roman"/>
          <w:sz w:val="24"/>
          <w:szCs w:val="20"/>
        </w:rPr>
        <w:t xml:space="preserve">, </w:t>
      </w:r>
      <w:r w:rsidR="00750718">
        <w:rPr>
          <w:rFonts w:ascii="Times New Roman" w:eastAsia="Times New Roman" w:hAnsi="Times New Roman" w:cs="Times New Roman"/>
          <w:sz w:val="24"/>
          <w:szCs w:val="20"/>
        </w:rPr>
        <w:t>MSP members are invited</w:t>
      </w:r>
      <w:r w:rsidR="009154D6" w:rsidRPr="009154D6">
        <w:rPr>
          <w:rFonts w:ascii="Times New Roman" w:eastAsia="Times New Roman" w:hAnsi="Times New Roman" w:cs="Times New Roman"/>
          <w:sz w:val="24"/>
          <w:szCs w:val="20"/>
        </w:rPr>
        <w:t xml:space="preserve"> </w:t>
      </w:r>
      <w:r w:rsidR="009154D6">
        <w:rPr>
          <w:rFonts w:ascii="Times New Roman" w:eastAsia="Times New Roman" w:hAnsi="Times New Roman" w:cs="Times New Roman"/>
          <w:sz w:val="24"/>
          <w:szCs w:val="20"/>
        </w:rPr>
        <w:t xml:space="preserve">to express their advice or any divergent views in written </w:t>
      </w:r>
      <w:r w:rsidR="009154D6" w:rsidRPr="007E6D6E">
        <w:rPr>
          <w:rFonts w:ascii="Times New Roman" w:eastAsia="Times New Roman" w:hAnsi="Times New Roman" w:cs="Times New Roman"/>
          <w:b/>
          <w:sz w:val="24"/>
          <w:szCs w:val="20"/>
          <w:u w:val="single"/>
        </w:rPr>
        <w:t xml:space="preserve">by </w:t>
      </w:r>
      <w:r w:rsidR="009154D6">
        <w:rPr>
          <w:rFonts w:ascii="Times New Roman" w:eastAsia="Times New Roman" w:hAnsi="Times New Roman" w:cs="Times New Roman"/>
          <w:b/>
          <w:sz w:val="24"/>
          <w:szCs w:val="20"/>
          <w:u w:val="single"/>
        </w:rPr>
        <w:t>June 18th</w:t>
      </w:r>
      <w:r w:rsidR="009154D6" w:rsidRPr="007E6D6E">
        <w:rPr>
          <w:rFonts w:ascii="Times New Roman" w:eastAsia="Times New Roman" w:hAnsi="Times New Roman" w:cs="Times New Roman"/>
          <w:b/>
          <w:sz w:val="24"/>
          <w:szCs w:val="20"/>
          <w:u w:val="single"/>
        </w:rPr>
        <w:t xml:space="preserve"> 201</w:t>
      </w:r>
      <w:r w:rsidR="009154D6">
        <w:rPr>
          <w:rFonts w:ascii="Times New Roman" w:eastAsia="Times New Roman" w:hAnsi="Times New Roman" w:cs="Times New Roman"/>
          <w:b/>
          <w:sz w:val="24"/>
          <w:szCs w:val="20"/>
          <w:u w:val="single"/>
        </w:rPr>
        <w:t>8</w:t>
      </w:r>
      <w:r w:rsidR="009154D6">
        <w:rPr>
          <w:rFonts w:ascii="Times New Roman" w:eastAsia="Times New Roman" w:hAnsi="Times New Roman" w:cs="Times New Roman"/>
          <w:sz w:val="24"/>
          <w:szCs w:val="20"/>
        </w:rPr>
        <w:t xml:space="preserve">. The lack of opposition will be interpreted as an agreement with this assessment. </w:t>
      </w:r>
    </w:p>
    <w:p w14:paraId="45B40C8F" w14:textId="24AFDC40" w:rsidR="009154D6" w:rsidRDefault="009154D6" w:rsidP="009154D6">
      <w:pPr>
        <w:spacing w:after="240" w:line="240" w:lineRule="auto"/>
        <w:rPr>
          <w:rFonts w:ascii="Times New Roman" w:eastAsia="Times New Roman" w:hAnsi="Times New Roman" w:cs="Times New Roman"/>
          <w:sz w:val="24"/>
          <w:szCs w:val="20"/>
        </w:rPr>
      </w:pPr>
      <w:r>
        <w:rPr>
          <w:rFonts w:ascii="Times New Roman" w:eastAsia="Times New Roman" w:hAnsi="Times New Roman" w:cs="Times New Roman"/>
          <w:b/>
          <w:sz w:val="24"/>
          <w:szCs w:val="20"/>
        </w:rPr>
        <w:t>The MSP advice would be considered to be</w:t>
      </w:r>
      <w:r w:rsidRPr="0056620D">
        <w:rPr>
          <w:rFonts w:ascii="Times New Roman" w:eastAsia="Times New Roman" w:hAnsi="Times New Roman" w:cs="Times New Roman"/>
          <w:b/>
          <w:sz w:val="24"/>
          <w:szCs w:val="20"/>
        </w:rPr>
        <w:t xml:space="preserve"> positive </w:t>
      </w:r>
      <w:r>
        <w:rPr>
          <w:rFonts w:ascii="Times New Roman" w:eastAsia="Times New Roman" w:hAnsi="Times New Roman" w:cs="Times New Roman"/>
          <w:b/>
          <w:sz w:val="24"/>
          <w:szCs w:val="20"/>
        </w:rPr>
        <w:t xml:space="preserve">and </w:t>
      </w:r>
      <w:r w:rsidR="00236A1C">
        <w:rPr>
          <w:rFonts w:cs="Arial"/>
          <w:b/>
          <w:sz w:val="24"/>
          <w:szCs w:val="20"/>
        </w:rPr>
        <w:t>OAuth 2.0</w:t>
      </w:r>
      <w:r w:rsidRPr="0056620D">
        <w:rPr>
          <w:rFonts w:cs="Arial"/>
          <w:b/>
          <w:sz w:val="24"/>
          <w:szCs w:val="20"/>
        </w:rPr>
        <w:t xml:space="preserve"> </w:t>
      </w:r>
      <w:r>
        <w:rPr>
          <w:rFonts w:ascii="Times New Roman" w:eastAsia="Times New Roman" w:hAnsi="Times New Roman" w:cs="Times New Roman"/>
          <w:b/>
          <w:sz w:val="24"/>
          <w:szCs w:val="20"/>
        </w:rPr>
        <w:t>will be considered</w:t>
      </w:r>
      <w:r w:rsidRPr="0056620D">
        <w:rPr>
          <w:rFonts w:ascii="Times New Roman" w:eastAsia="Times New Roman" w:hAnsi="Times New Roman" w:cs="Times New Roman"/>
          <w:b/>
          <w:sz w:val="24"/>
          <w:szCs w:val="20"/>
        </w:rPr>
        <w:t xml:space="preserve"> eligible for identification by the</w:t>
      </w:r>
      <w:r>
        <w:rPr>
          <w:rFonts w:ascii="Times New Roman" w:eastAsia="Times New Roman" w:hAnsi="Times New Roman" w:cs="Times New Roman"/>
          <w:b/>
          <w:sz w:val="24"/>
          <w:szCs w:val="20"/>
        </w:rPr>
        <w:t xml:space="preserve"> Commission on the basis of CAMSS</w:t>
      </w:r>
      <w:r w:rsidRPr="0056620D">
        <w:rPr>
          <w:rFonts w:ascii="Times New Roman" w:eastAsia="Times New Roman" w:hAnsi="Times New Roman" w:cs="Times New Roman"/>
          <w:b/>
          <w:sz w:val="24"/>
          <w:szCs w:val="20"/>
        </w:rPr>
        <w:t xml:space="preserve"> </w:t>
      </w:r>
      <w:r>
        <w:rPr>
          <w:rFonts w:ascii="Times New Roman" w:eastAsia="Times New Roman" w:hAnsi="Times New Roman" w:cs="Times New Roman"/>
          <w:b/>
          <w:sz w:val="24"/>
          <w:szCs w:val="20"/>
        </w:rPr>
        <w:t xml:space="preserve">assessment </w:t>
      </w:r>
      <w:r w:rsidRPr="0056620D">
        <w:rPr>
          <w:rFonts w:ascii="Times New Roman" w:eastAsia="Times New Roman" w:hAnsi="Times New Roman" w:cs="Times New Roman"/>
          <w:b/>
          <w:sz w:val="24"/>
          <w:szCs w:val="20"/>
        </w:rPr>
        <w:t xml:space="preserve">report </w:t>
      </w:r>
      <w:r>
        <w:rPr>
          <w:rFonts w:ascii="Times New Roman" w:eastAsia="Times New Roman" w:hAnsi="Times New Roman" w:cs="Times New Roman"/>
          <w:b/>
          <w:sz w:val="24"/>
          <w:szCs w:val="20"/>
        </w:rPr>
        <w:t xml:space="preserve">confirmed by the MSP </w:t>
      </w:r>
      <w:r w:rsidRPr="0056620D">
        <w:rPr>
          <w:rFonts w:ascii="Times New Roman" w:eastAsia="Times New Roman" w:hAnsi="Times New Roman" w:cs="Times New Roman"/>
          <w:b/>
          <w:sz w:val="24"/>
          <w:szCs w:val="20"/>
        </w:rPr>
        <w:t xml:space="preserve">so that </w:t>
      </w:r>
      <w:r>
        <w:rPr>
          <w:rFonts w:ascii="Times New Roman" w:eastAsia="Times New Roman" w:hAnsi="Times New Roman" w:cs="Times New Roman"/>
          <w:b/>
          <w:sz w:val="24"/>
          <w:szCs w:val="20"/>
        </w:rPr>
        <w:t>once identified it</w:t>
      </w:r>
      <w:r w:rsidRPr="0056620D">
        <w:rPr>
          <w:rFonts w:ascii="Times New Roman" w:eastAsia="Times New Roman" w:hAnsi="Times New Roman" w:cs="Times New Roman"/>
          <w:b/>
          <w:sz w:val="24"/>
          <w:szCs w:val="20"/>
        </w:rPr>
        <w:t xml:space="preserve"> shall constitute a “common technical specification” in the sense of Article 14 of the Regulation (EU) No. 1025/2012.</w:t>
      </w:r>
      <w:r>
        <w:rPr>
          <w:rFonts w:ascii="Times New Roman" w:eastAsia="Times New Roman" w:hAnsi="Times New Roman" w:cs="Times New Roman"/>
          <w:sz w:val="24"/>
          <w:szCs w:val="20"/>
        </w:rPr>
        <w:t xml:space="preserve"> </w:t>
      </w:r>
    </w:p>
    <w:p w14:paraId="2811E2B2" w14:textId="628101BF" w:rsidR="00B767ED" w:rsidRDefault="00B767ED" w:rsidP="00373E9A">
      <w:pPr>
        <w:spacing w:after="240" w:line="240" w:lineRule="auto"/>
        <w:rPr>
          <w:rFonts w:ascii="Times New Roman" w:eastAsia="Times New Roman" w:hAnsi="Times New Roman" w:cs="Times New Roman"/>
          <w:sz w:val="24"/>
          <w:szCs w:val="20"/>
        </w:rPr>
      </w:pPr>
    </w:p>
    <w:p w14:paraId="035BB24B" w14:textId="3E200053" w:rsidR="00B01005" w:rsidRPr="00B01005" w:rsidRDefault="00222D79" w:rsidP="00B01005">
      <w:pPr>
        <w:spacing w:after="240" w:line="240" w:lineRule="auto"/>
        <w:rPr>
          <w:rFonts w:ascii="Times New Roman" w:eastAsia="Times New Roman" w:hAnsi="Times New Roman" w:cs="Times New Roman"/>
          <w:sz w:val="24"/>
          <w:szCs w:val="20"/>
        </w:rPr>
      </w:pPr>
      <w:r>
        <w:rPr>
          <w:rFonts w:cs="Arial"/>
          <w:b/>
          <w:sz w:val="24"/>
          <w:szCs w:val="20"/>
          <w:u w:val="single"/>
        </w:rPr>
        <w:br w:type="page"/>
      </w:r>
    </w:p>
    <w:p w14:paraId="6C1FF586" w14:textId="2BF14864" w:rsidR="00173247" w:rsidRDefault="00094361" w:rsidP="00F376A1">
      <w:pPr>
        <w:pStyle w:val="Kop1"/>
      </w:pPr>
      <w:r w:rsidRPr="00222D79">
        <w:lastRenderedPageBreak/>
        <w:t>ASSESSMENT</w:t>
      </w:r>
      <w:r w:rsidR="00173247">
        <w:t xml:space="preserve"> </w:t>
      </w:r>
      <w:r w:rsidR="00222D79">
        <w:t>SUM</w:t>
      </w:r>
      <w:r w:rsidR="0066549E">
        <w:t>M</w:t>
      </w:r>
      <w:r w:rsidR="00222D79">
        <w:t>ARY</w:t>
      </w:r>
      <w:r w:rsidR="00173247">
        <w:t xml:space="preserve"> </w:t>
      </w:r>
    </w:p>
    <w:p w14:paraId="40DE97E3" w14:textId="77777777" w:rsidR="007703D3" w:rsidRPr="007703D3" w:rsidRDefault="007703D3" w:rsidP="007703D3"/>
    <w:p w14:paraId="15A8467A" w14:textId="11A7C864" w:rsidR="007D1E43" w:rsidRPr="00EA574E" w:rsidRDefault="00960FBD" w:rsidP="00EA574E">
      <w:pPr>
        <w:jc w:val="center"/>
        <w:rPr>
          <w:b/>
        </w:rPr>
      </w:pPr>
      <w:r>
        <w:rPr>
          <w:b/>
        </w:rPr>
        <w:t>IETF</w:t>
      </w:r>
      <w:r w:rsidR="00647C04">
        <w:rPr>
          <w:b/>
        </w:rPr>
        <w:t xml:space="preserve"> </w:t>
      </w:r>
      <w:r w:rsidR="004A1C9A">
        <w:rPr>
          <w:b/>
        </w:rPr>
        <w:t>OAuth</w:t>
      </w:r>
      <w:r w:rsidR="00E710B7">
        <w:rPr>
          <w:b/>
        </w:rPr>
        <w:t xml:space="preserve"> 2.0</w:t>
      </w:r>
      <w:r>
        <w:rPr>
          <w:b/>
        </w:rPr>
        <w:t xml:space="preserve"> </w:t>
      </w:r>
      <w:r w:rsidR="00173247" w:rsidRPr="00EA574E">
        <w:rPr>
          <w:b/>
        </w:rPr>
        <w:t>Technical specification</w:t>
      </w:r>
    </w:p>
    <w:p w14:paraId="15A8467D" w14:textId="77777777" w:rsidR="007D1E43" w:rsidRPr="00DE0BEC" w:rsidRDefault="007D1E43" w:rsidP="007D1E43">
      <w:pPr>
        <w:rPr>
          <w:rFonts w:cs="Arial"/>
          <w:szCs w:val="20"/>
        </w:rPr>
      </w:pPr>
      <w:r w:rsidRPr="00DE0BEC">
        <w:rPr>
          <w:rFonts w:cs="Arial"/>
          <w:b/>
          <w:bCs/>
          <w:szCs w:val="20"/>
        </w:rPr>
        <w:t xml:space="preserve">I. </w:t>
      </w:r>
      <w:r w:rsidR="005D485E">
        <w:rPr>
          <w:rFonts w:cs="Arial"/>
          <w:b/>
          <w:bCs/>
          <w:szCs w:val="20"/>
        </w:rPr>
        <w:t>Introduction</w:t>
      </w:r>
    </w:p>
    <w:p w14:paraId="13FFB5D3" w14:textId="78B0518A" w:rsidR="00235566" w:rsidRPr="00260C2E" w:rsidRDefault="00260C2E" w:rsidP="00471AB2">
      <w:pPr>
        <w:rPr>
          <w:rFonts w:cs="Arial"/>
        </w:rPr>
      </w:pPr>
      <w:r w:rsidRPr="00235566">
        <w:rPr>
          <w:rFonts w:cs="Arial"/>
        </w:rPr>
        <w:t>Th</w:t>
      </w:r>
      <w:r>
        <w:rPr>
          <w:rFonts w:cs="Arial"/>
        </w:rPr>
        <w:t xml:space="preserve">is </w:t>
      </w:r>
      <w:r w:rsidRPr="00235566">
        <w:rPr>
          <w:rFonts w:cs="Arial"/>
        </w:rPr>
        <w:t xml:space="preserve">document </w:t>
      </w:r>
      <w:r>
        <w:rPr>
          <w:rFonts w:cs="Arial"/>
        </w:rPr>
        <w:t>reports to</w:t>
      </w:r>
      <w:r w:rsidRPr="00235566">
        <w:rPr>
          <w:rFonts w:cs="Arial"/>
        </w:rPr>
        <w:t xml:space="preserve"> </w:t>
      </w:r>
      <w:r>
        <w:rPr>
          <w:rFonts w:cs="Arial"/>
        </w:rPr>
        <w:t xml:space="preserve">the </w:t>
      </w:r>
      <w:r w:rsidR="00F81B09">
        <w:rPr>
          <w:rFonts w:cs="Arial"/>
        </w:rPr>
        <w:t xml:space="preserve">European </w:t>
      </w:r>
      <w:r>
        <w:rPr>
          <w:rFonts w:cs="Arial"/>
        </w:rPr>
        <w:t xml:space="preserve">Multi-Stakeholder Platform on ICT Standardisation, </w:t>
      </w:r>
      <w:r w:rsidRPr="00573248">
        <w:rPr>
          <w:rFonts w:cs="Arial"/>
        </w:rPr>
        <w:t xml:space="preserve">hereafter 'the </w:t>
      </w:r>
      <w:r>
        <w:rPr>
          <w:rFonts w:cs="Arial"/>
        </w:rPr>
        <w:t>MSP</w:t>
      </w:r>
      <w:r w:rsidRPr="00573248">
        <w:rPr>
          <w:rFonts w:cs="Arial"/>
        </w:rPr>
        <w:t>'</w:t>
      </w:r>
      <w:r>
        <w:rPr>
          <w:rFonts w:cs="Arial"/>
        </w:rPr>
        <w:t xml:space="preserve">, on the assessment of a technical specification (TS), </w:t>
      </w:r>
      <w:r w:rsidR="004A1C9A">
        <w:rPr>
          <w:rFonts w:cs="Arial"/>
          <w:b/>
        </w:rPr>
        <w:t>OAuth</w:t>
      </w:r>
      <w:r w:rsidR="004D48FD">
        <w:rPr>
          <w:rFonts w:cs="Arial"/>
          <w:b/>
        </w:rPr>
        <w:t xml:space="preserve"> 2.0</w:t>
      </w:r>
      <w:r>
        <w:rPr>
          <w:rFonts w:cs="Arial"/>
          <w:b/>
        </w:rPr>
        <w:t xml:space="preserve"> </w:t>
      </w:r>
      <w:r w:rsidR="005E7459">
        <w:rPr>
          <w:rFonts w:cs="Arial"/>
        </w:rPr>
        <w:t xml:space="preserve">from </w:t>
      </w:r>
      <w:r w:rsidR="005E7459">
        <w:rPr>
          <w:rFonts w:cs="Arial"/>
          <w:b/>
        </w:rPr>
        <w:t>IETF</w:t>
      </w:r>
      <w:r>
        <w:rPr>
          <w:rFonts w:cs="Arial"/>
          <w:b/>
        </w:rPr>
        <w:t xml:space="preserve">. </w:t>
      </w:r>
      <w:r w:rsidRPr="00725AE5">
        <w:rPr>
          <w:rFonts w:cs="Arial"/>
        </w:rPr>
        <w:t>Th</w:t>
      </w:r>
      <w:r>
        <w:rPr>
          <w:rFonts w:cs="Arial"/>
        </w:rPr>
        <w:t>is</w:t>
      </w:r>
      <w:r w:rsidRPr="006309C2">
        <w:rPr>
          <w:rFonts w:cs="Arial"/>
        </w:rPr>
        <w:t xml:space="preserve"> assessment </w:t>
      </w:r>
      <w:r>
        <w:rPr>
          <w:rFonts w:cs="Arial"/>
        </w:rPr>
        <w:t xml:space="preserve">has been </w:t>
      </w:r>
      <w:r w:rsidRPr="006309C2">
        <w:rPr>
          <w:rFonts w:cs="Arial"/>
        </w:rPr>
        <w:t xml:space="preserve">performed </w:t>
      </w:r>
      <w:r w:rsidR="005D795D">
        <w:rPr>
          <w:rFonts w:cs="Arial"/>
        </w:rPr>
        <w:t xml:space="preserve">by the CAMSS Team </w:t>
      </w:r>
      <w:r w:rsidR="00F81B09">
        <w:rPr>
          <w:rFonts w:cs="Arial"/>
        </w:rPr>
        <w:t xml:space="preserve">following </w:t>
      </w:r>
      <w:r w:rsidR="005D795D">
        <w:rPr>
          <w:rFonts w:cs="Arial"/>
        </w:rPr>
        <w:t xml:space="preserve">the CAMSS </w:t>
      </w:r>
      <w:r w:rsidR="00F81B09">
        <w:rPr>
          <w:rFonts w:cs="Arial"/>
        </w:rPr>
        <w:t>MSP scenario assessment criteria</w:t>
      </w:r>
      <w:r>
        <w:rPr>
          <w:rFonts w:cs="Arial"/>
        </w:rPr>
        <w:t xml:space="preserve"> which is in full compliance with Annex II criteria set out in the Regulation 1025/2012</w:t>
      </w:r>
      <w:r>
        <w:rPr>
          <w:rStyle w:val="Voetnootmarkering"/>
          <w:rFonts w:cs="Arial"/>
        </w:rPr>
        <w:footnoteReference w:id="1"/>
      </w:r>
      <w:r>
        <w:rPr>
          <w:rFonts w:cs="Arial"/>
        </w:rPr>
        <w:t xml:space="preserve">, </w:t>
      </w:r>
      <w:r w:rsidR="00F81B09">
        <w:rPr>
          <w:rFonts w:cs="Arial"/>
        </w:rPr>
        <w:t>on European</w:t>
      </w:r>
      <w:r>
        <w:rPr>
          <w:rFonts w:cs="Arial"/>
        </w:rPr>
        <w:t xml:space="preserve"> standardisation.</w:t>
      </w:r>
    </w:p>
    <w:p w14:paraId="692C192F" w14:textId="77777777" w:rsidR="00F81B09" w:rsidRDefault="007D1E43" w:rsidP="007D1E43">
      <w:pPr>
        <w:rPr>
          <w:rFonts w:cs="Arial"/>
          <w:b/>
          <w:bCs/>
          <w:szCs w:val="20"/>
        </w:rPr>
      </w:pPr>
      <w:r w:rsidRPr="00DE0BEC">
        <w:rPr>
          <w:rFonts w:cs="Arial"/>
          <w:b/>
          <w:bCs/>
          <w:szCs w:val="20"/>
        </w:rPr>
        <w:t xml:space="preserve">II. Assessment </w:t>
      </w:r>
      <w:r w:rsidR="005D485E">
        <w:rPr>
          <w:rFonts w:cs="Arial"/>
          <w:b/>
          <w:bCs/>
          <w:szCs w:val="20"/>
        </w:rPr>
        <w:t>Summary</w:t>
      </w:r>
      <w:r w:rsidR="00104607">
        <w:rPr>
          <w:rFonts w:cs="Arial"/>
          <w:b/>
          <w:bCs/>
          <w:szCs w:val="20"/>
        </w:rPr>
        <w:t xml:space="preserve"> </w:t>
      </w:r>
    </w:p>
    <w:p w14:paraId="2B5DC558" w14:textId="5BCF1616" w:rsidR="000F16BF" w:rsidRPr="000F16BF" w:rsidRDefault="000F16BF" w:rsidP="007D1E43">
      <w:pPr>
        <w:rPr>
          <w:rFonts w:cs="Arial"/>
          <w:bCs/>
          <w:szCs w:val="20"/>
        </w:rPr>
      </w:pPr>
      <w:r w:rsidRPr="000F16BF">
        <w:rPr>
          <w:rStyle w:val="st"/>
        </w:rPr>
        <w:t xml:space="preserve">The </w:t>
      </w:r>
      <w:r w:rsidRPr="00750B13">
        <w:rPr>
          <w:rStyle w:val="Nadruk"/>
          <w:i w:val="0"/>
        </w:rPr>
        <w:t>OAuth 2.0</w:t>
      </w:r>
      <w:r w:rsidRPr="000F16BF">
        <w:rPr>
          <w:rStyle w:val="st"/>
        </w:rPr>
        <w:t xml:space="preserve"> authorization </w:t>
      </w:r>
      <w:r w:rsidRPr="00750B13">
        <w:rPr>
          <w:rStyle w:val="Nadruk"/>
          <w:i w:val="0"/>
        </w:rPr>
        <w:t>framework</w:t>
      </w:r>
      <w:r w:rsidRPr="000F16BF">
        <w:rPr>
          <w:rStyle w:val="st"/>
        </w:rPr>
        <w:t xml:space="preserve"> </w:t>
      </w:r>
      <w:r w:rsidR="005D795D">
        <w:rPr>
          <w:rStyle w:val="st"/>
        </w:rPr>
        <w:t xml:space="preserve">is an </w:t>
      </w:r>
      <w:r w:rsidR="005D795D" w:rsidRPr="005D795D">
        <w:rPr>
          <w:rStyle w:val="st"/>
        </w:rPr>
        <w:t xml:space="preserve">open </w:t>
      </w:r>
      <w:r w:rsidR="005D795D">
        <w:rPr>
          <w:rStyle w:val="st"/>
        </w:rPr>
        <w:t>technical specification</w:t>
      </w:r>
      <w:r w:rsidR="005D795D" w:rsidRPr="005D795D">
        <w:rPr>
          <w:rStyle w:val="st"/>
        </w:rPr>
        <w:t xml:space="preserve"> for access delegation, commonly used as a way for Internet users to grant websites or applications access to their information on other websites </w:t>
      </w:r>
      <w:r w:rsidR="005D795D">
        <w:rPr>
          <w:rStyle w:val="st"/>
        </w:rPr>
        <w:t xml:space="preserve">without sharing their data. </w:t>
      </w:r>
    </w:p>
    <w:p w14:paraId="09C9F020" w14:textId="52CFDD33" w:rsidR="000F16BF" w:rsidRPr="00F376A1" w:rsidRDefault="00C91743" w:rsidP="007D1E43">
      <w:pPr>
        <w:rPr>
          <w:rFonts w:cs="Arial"/>
          <w:bCs/>
          <w:szCs w:val="20"/>
        </w:rPr>
      </w:pPr>
      <w:r>
        <w:rPr>
          <w:rFonts w:cs="Arial"/>
          <w:bCs/>
          <w:szCs w:val="20"/>
        </w:rPr>
        <w:t xml:space="preserve">During </w:t>
      </w:r>
      <w:r w:rsidR="005D795D">
        <w:rPr>
          <w:rFonts w:cs="Arial"/>
          <w:bCs/>
          <w:szCs w:val="20"/>
        </w:rPr>
        <w:t xml:space="preserve">the </w:t>
      </w:r>
      <w:r>
        <w:rPr>
          <w:rFonts w:cs="Arial"/>
          <w:bCs/>
          <w:szCs w:val="20"/>
        </w:rPr>
        <w:t xml:space="preserve">assessment, </w:t>
      </w:r>
      <w:r w:rsidR="00260C2E">
        <w:rPr>
          <w:rFonts w:cs="Arial"/>
          <w:bCs/>
          <w:szCs w:val="20"/>
        </w:rPr>
        <w:t xml:space="preserve">evidence was found of the technical specification, </w:t>
      </w:r>
      <w:r w:rsidR="004A1C9A">
        <w:rPr>
          <w:rFonts w:cs="Arial"/>
          <w:bCs/>
          <w:szCs w:val="20"/>
        </w:rPr>
        <w:t>OAuth</w:t>
      </w:r>
      <w:r w:rsidR="004D48FD">
        <w:rPr>
          <w:rFonts w:cs="Arial"/>
          <w:bCs/>
          <w:szCs w:val="20"/>
        </w:rPr>
        <w:t xml:space="preserve"> 2.0</w:t>
      </w:r>
      <w:r w:rsidR="00260C2E">
        <w:rPr>
          <w:rFonts w:cs="Arial"/>
          <w:bCs/>
          <w:szCs w:val="20"/>
        </w:rPr>
        <w:t>, being satisfactorily compliant with the standardisation regulation Annex II criteria.</w:t>
      </w:r>
      <w:r>
        <w:rPr>
          <w:rFonts w:cs="Arial"/>
          <w:bCs/>
          <w:szCs w:val="20"/>
        </w:rPr>
        <w:t xml:space="preserve"> </w:t>
      </w:r>
      <w:r w:rsidR="001C1779" w:rsidRPr="006309C2">
        <w:rPr>
          <w:rFonts w:cs="Arial"/>
          <w:bCs/>
          <w:szCs w:val="20"/>
        </w:rPr>
        <w:t xml:space="preserve"> </w:t>
      </w:r>
    </w:p>
    <w:p w14:paraId="39690BDE" w14:textId="2CE0FDF1" w:rsidR="00CA2D7A" w:rsidRPr="00CA2D7A" w:rsidRDefault="00260C2E" w:rsidP="00CA2D7A">
      <w:pPr>
        <w:pStyle w:val="Lijstalinea"/>
        <w:numPr>
          <w:ilvl w:val="0"/>
          <w:numId w:val="3"/>
        </w:numPr>
        <w:spacing w:before="120" w:after="120" w:line="276" w:lineRule="auto"/>
        <w:rPr>
          <w:rFonts w:cs="Arial"/>
          <w:lang w:val="en-US"/>
        </w:rPr>
      </w:pPr>
      <w:r w:rsidRPr="00725AE5">
        <w:rPr>
          <w:b/>
        </w:rPr>
        <w:t xml:space="preserve">Market acceptance </w:t>
      </w:r>
      <w:r w:rsidR="000F16BF">
        <w:t xml:space="preserve">of the technical specification is evidenced </w:t>
      </w:r>
      <w:r w:rsidR="00CA2D7A">
        <w:t xml:space="preserve">by the wide </w:t>
      </w:r>
      <w:r w:rsidR="003103AE">
        <w:t>adoption</w:t>
      </w:r>
      <w:r w:rsidR="00CA2D7A">
        <w:t xml:space="preserve"> of the TS by different suppliers and vendors.</w:t>
      </w:r>
    </w:p>
    <w:p w14:paraId="02B9AA96" w14:textId="4E7AC797" w:rsidR="00CA2D7A" w:rsidRDefault="004A1C9A" w:rsidP="00CA2D7A">
      <w:pPr>
        <w:ind w:left="720"/>
      </w:pPr>
      <w:r>
        <w:t>OAuth</w:t>
      </w:r>
      <w:r w:rsidR="00CA2D7A">
        <w:t xml:space="preserve"> 2.0 is used as a way for Internet users and developers to grant websites or applications access to their information on other HTTP applications without exposing their credentials. </w:t>
      </w:r>
    </w:p>
    <w:p w14:paraId="7B89D66C" w14:textId="61E691B0" w:rsidR="00CA2D7A" w:rsidRPr="00CA2D7A" w:rsidRDefault="00CA2D7A" w:rsidP="00CA2D7A">
      <w:pPr>
        <w:pStyle w:val="Lijstalinea"/>
        <w:rPr>
          <w:lang w:val="en-US"/>
        </w:rPr>
      </w:pPr>
      <w:r>
        <w:t>This mechanism is used extensively by companies with an international market dominance such as Amazon,</w:t>
      </w:r>
      <w:r w:rsidRPr="00CA2D7A">
        <w:rPr>
          <w:vertAlign w:val="superscript"/>
        </w:rPr>
        <w:t xml:space="preserve"> </w:t>
      </w:r>
      <w:r>
        <w:t>Google, Facebook, Microsoft and Twitter to allow the users to share information about their accounts with third party applications.</w:t>
      </w:r>
    </w:p>
    <w:p w14:paraId="161CADF0" w14:textId="0A9CFB3C" w:rsidR="00260D93" w:rsidRDefault="00260C2E" w:rsidP="00260D93">
      <w:pPr>
        <w:numPr>
          <w:ilvl w:val="0"/>
          <w:numId w:val="3"/>
        </w:numPr>
        <w:rPr>
          <w:color w:val="000000"/>
        </w:rPr>
      </w:pPr>
      <w:r w:rsidRPr="00260D93">
        <w:rPr>
          <w:rFonts w:cs="Arial"/>
          <w:b/>
        </w:rPr>
        <w:t>Coherence</w:t>
      </w:r>
      <w:r w:rsidR="00560735" w:rsidRPr="00260D93">
        <w:rPr>
          <w:rFonts w:cs="Arial"/>
          <w:b/>
        </w:rPr>
        <w:t xml:space="preserve"> </w:t>
      </w:r>
      <w:r w:rsidR="00560735" w:rsidRPr="00260D93">
        <w:rPr>
          <w:rFonts w:cs="Arial"/>
        </w:rPr>
        <w:t xml:space="preserve">of the TS is evidenced by the fact that </w:t>
      </w:r>
      <w:r w:rsidR="00560735" w:rsidRPr="00260D93">
        <w:rPr>
          <w:color w:val="000000"/>
        </w:rPr>
        <w:t xml:space="preserve">there is no existing European standard or technical specifications being under consideration to become a European standard that has the same area of application as </w:t>
      </w:r>
      <w:r w:rsidR="004A1C9A">
        <w:rPr>
          <w:color w:val="000000"/>
        </w:rPr>
        <w:t>OAuth</w:t>
      </w:r>
      <w:r w:rsidR="00B03C9A">
        <w:rPr>
          <w:color w:val="000000"/>
        </w:rPr>
        <w:t xml:space="preserve"> 2.0</w:t>
      </w:r>
      <w:r w:rsidR="00E77243">
        <w:rPr>
          <w:color w:val="000000"/>
        </w:rPr>
        <w:t xml:space="preserve">. </w:t>
      </w:r>
    </w:p>
    <w:p w14:paraId="3A8694A3" w14:textId="435EDB07" w:rsidR="00260C2E" w:rsidRPr="00260D93" w:rsidRDefault="00260D93" w:rsidP="00260D93">
      <w:pPr>
        <w:numPr>
          <w:ilvl w:val="0"/>
          <w:numId w:val="3"/>
        </w:numPr>
        <w:rPr>
          <w:color w:val="000000"/>
        </w:rPr>
      </w:pPr>
      <w:r>
        <w:rPr>
          <w:rFonts w:cs="Arial"/>
          <w:b/>
        </w:rPr>
        <w:t xml:space="preserve">IETF </w:t>
      </w:r>
      <w:r w:rsidR="00260C2E" w:rsidRPr="00260D93">
        <w:rPr>
          <w:rFonts w:cs="Arial"/>
          <w:b/>
        </w:rPr>
        <w:t>is a non-profit organisation which follows an open process</w:t>
      </w:r>
      <w:r w:rsidR="002B0814">
        <w:rPr>
          <w:rFonts w:cs="Arial"/>
          <w:b/>
        </w:rPr>
        <w:t xml:space="preserve">. </w:t>
      </w:r>
      <w:r w:rsidR="002B0814" w:rsidRPr="006309C2">
        <w:rPr>
          <w:rFonts w:cs="Arial"/>
        </w:rPr>
        <w:t>The</w:t>
      </w:r>
      <w:r w:rsidR="002B0814">
        <w:rPr>
          <w:rFonts w:cs="Arial"/>
          <w:b/>
        </w:rPr>
        <w:t xml:space="preserve"> </w:t>
      </w:r>
      <w:r w:rsidR="002B0814" w:rsidRPr="006309C2">
        <w:rPr>
          <w:rFonts w:cs="Arial"/>
        </w:rPr>
        <w:t>MSP</w:t>
      </w:r>
      <w:r w:rsidR="002B0814">
        <w:rPr>
          <w:rFonts w:cs="Arial"/>
        </w:rPr>
        <w:t xml:space="preserve"> has already identified TS of </w:t>
      </w:r>
      <w:r w:rsidR="00E77243">
        <w:rPr>
          <w:rFonts w:cs="Arial"/>
        </w:rPr>
        <w:t xml:space="preserve">IETF </w:t>
      </w:r>
      <w:r w:rsidR="002B0814">
        <w:rPr>
          <w:rFonts w:cs="Arial"/>
        </w:rPr>
        <w:t>in the past, and positively evaluated the compliance of its process with Annex II criteria.</w:t>
      </w:r>
    </w:p>
    <w:p w14:paraId="5800FAB8" w14:textId="51DF5D7D" w:rsidR="00260C2E" w:rsidRDefault="002B0814" w:rsidP="00260C2E">
      <w:pPr>
        <w:numPr>
          <w:ilvl w:val="2"/>
          <w:numId w:val="3"/>
        </w:numPr>
        <w:tabs>
          <w:tab w:val="clear" w:pos="2160"/>
          <w:tab w:val="num" w:pos="1440"/>
        </w:tabs>
        <w:ind w:left="1440"/>
        <w:rPr>
          <w:rFonts w:cs="Arial"/>
          <w:b/>
        </w:rPr>
      </w:pPr>
      <w:r w:rsidRPr="005D485E">
        <w:rPr>
          <w:rFonts w:cs="Arial"/>
          <w:b/>
        </w:rPr>
        <w:t>Openness</w:t>
      </w:r>
      <w:r>
        <w:rPr>
          <w:rFonts w:cs="Arial"/>
          <w:b/>
        </w:rPr>
        <w:t xml:space="preserve"> of</w:t>
      </w:r>
      <w:r>
        <w:rPr>
          <w:rFonts w:cs="Arial"/>
        </w:rPr>
        <w:t xml:space="preserve"> the TS is evidenced by the openness of IETF to newcomers. There is no formal </w:t>
      </w:r>
      <w:r w:rsidR="00E77243">
        <w:rPr>
          <w:rFonts w:cs="Arial"/>
        </w:rPr>
        <w:t>m</w:t>
      </w:r>
      <w:r>
        <w:rPr>
          <w:rFonts w:cs="Arial"/>
        </w:rPr>
        <w:t>embership.</w:t>
      </w:r>
    </w:p>
    <w:p w14:paraId="389F45F4" w14:textId="436D5F19" w:rsidR="00260C2E" w:rsidRPr="007B18CE" w:rsidRDefault="00260C2E" w:rsidP="00260C2E">
      <w:pPr>
        <w:numPr>
          <w:ilvl w:val="2"/>
          <w:numId w:val="3"/>
        </w:numPr>
        <w:tabs>
          <w:tab w:val="clear" w:pos="2160"/>
          <w:tab w:val="num" w:pos="1440"/>
        </w:tabs>
        <w:ind w:left="1440"/>
        <w:rPr>
          <w:rFonts w:cs="Arial"/>
          <w:b/>
        </w:rPr>
      </w:pPr>
      <w:r w:rsidRPr="003A55EC">
        <w:rPr>
          <w:rFonts w:cs="Arial"/>
          <w:b/>
        </w:rPr>
        <w:t>Consensus</w:t>
      </w:r>
      <w:r w:rsidRPr="007B18CE">
        <w:rPr>
          <w:rFonts w:cs="Arial"/>
        </w:rPr>
        <w:t xml:space="preserve"> </w:t>
      </w:r>
      <w:r w:rsidR="002B0814">
        <w:rPr>
          <w:rFonts w:cs="Arial"/>
        </w:rPr>
        <w:t xml:space="preserve">and continuous consent of the community is required during the several iterations </w:t>
      </w:r>
      <w:r w:rsidR="00AE71D1">
        <w:rPr>
          <w:rFonts w:cs="Arial"/>
        </w:rPr>
        <w:t>carried out during</w:t>
      </w:r>
      <w:r w:rsidR="002B0814">
        <w:rPr>
          <w:rFonts w:cs="Arial"/>
        </w:rPr>
        <w:t xml:space="preserve"> the development of </w:t>
      </w:r>
      <w:r w:rsidR="00292B54">
        <w:rPr>
          <w:rFonts w:cs="Arial"/>
        </w:rPr>
        <w:t xml:space="preserve">the TS, as </w:t>
      </w:r>
      <w:r w:rsidR="002B0814">
        <w:rPr>
          <w:rFonts w:cs="Arial"/>
        </w:rPr>
        <w:t xml:space="preserve">all IETF technical specifications. </w:t>
      </w:r>
    </w:p>
    <w:p w14:paraId="514B64B3" w14:textId="1B97330C" w:rsidR="00260C2E" w:rsidRPr="00C1456F" w:rsidRDefault="00260C2E" w:rsidP="00D04F1C">
      <w:pPr>
        <w:numPr>
          <w:ilvl w:val="2"/>
          <w:numId w:val="3"/>
        </w:numPr>
        <w:ind w:left="1440"/>
        <w:rPr>
          <w:rFonts w:cs="Arial"/>
        </w:rPr>
      </w:pPr>
      <w:r w:rsidRPr="00C1456F">
        <w:rPr>
          <w:rFonts w:cs="Arial"/>
          <w:b/>
        </w:rPr>
        <w:t xml:space="preserve">Transparency </w:t>
      </w:r>
      <w:r w:rsidR="002B0814" w:rsidRPr="00694681">
        <w:rPr>
          <w:rFonts w:cs="Arial"/>
        </w:rPr>
        <w:t xml:space="preserve">is evidenced by the availability </w:t>
      </w:r>
      <w:r w:rsidR="00B03C9A" w:rsidRPr="00694681">
        <w:rPr>
          <w:rFonts w:cs="Arial"/>
        </w:rPr>
        <w:t>of the</w:t>
      </w:r>
      <w:r w:rsidR="002B0814" w:rsidRPr="00694681">
        <w:rPr>
          <w:rFonts w:cs="Arial"/>
        </w:rPr>
        <w:t xml:space="preserve"> documentation during the development </w:t>
      </w:r>
      <w:r w:rsidR="00B03C9A" w:rsidRPr="00694681">
        <w:rPr>
          <w:rFonts w:cs="Arial"/>
        </w:rPr>
        <w:t>period of the TS</w:t>
      </w:r>
      <w:r w:rsidR="002B0814" w:rsidRPr="00C1456F">
        <w:rPr>
          <w:rFonts w:cs="Arial"/>
          <w:b/>
        </w:rPr>
        <w:t>.</w:t>
      </w:r>
      <w:r w:rsidR="00C1456F" w:rsidRPr="00C1456F">
        <w:rPr>
          <w:rFonts w:cs="Arial"/>
          <w:b/>
        </w:rPr>
        <w:t xml:space="preserve"> </w:t>
      </w:r>
      <w:r w:rsidR="00C1456F" w:rsidRPr="00C1456F">
        <w:rPr>
          <w:rFonts w:cs="Arial"/>
        </w:rPr>
        <w:t xml:space="preserve">The IETF </w:t>
      </w:r>
      <w:proofErr w:type="spellStart"/>
      <w:r w:rsidR="00C1456F" w:rsidRPr="00C1456F">
        <w:rPr>
          <w:rFonts w:cs="Arial"/>
        </w:rPr>
        <w:t>Datatracker</w:t>
      </w:r>
      <w:proofErr w:type="spellEnd"/>
      <w:r w:rsidR="00C1456F" w:rsidRPr="00C1456F">
        <w:rPr>
          <w:rFonts w:cs="Arial"/>
        </w:rPr>
        <w:t xml:space="preserve"> is the da</w:t>
      </w:r>
      <w:r w:rsidR="00B03C9A">
        <w:rPr>
          <w:rFonts w:cs="Arial"/>
        </w:rPr>
        <w:t xml:space="preserve">y-to-day </w:t>
      </w:r>
      <w:r w:rsidR="00C1456F" w:rsidRPr="00C1456F">
        <w:rPr>
          <w:rFonts w:cs="Arial"/>
        </w:rPr>
        <w:t xml:space="preserve">front-end </w:t>
      </w:r>
      <w:r w:rsidR="00C1456F">
        <w:rPr>
          <w:rFonts w:cs="Arial"/>
        </w:rPr>
        <w:t xml:space="preserve">to the IETF </w:t>
      </w:r>
      <w:r w:rsidR="00C1456F" w:rsidRPr="00C1456F">
        <w:rPr>
          <w:rFonts w:cs="Arial"/>
        </w:rPr>
        <w:t>database for people working on IETF standards. It co</w:t>
      </w:r>
      <w:r w:rsidR="00C1456F">
        <w:rPr>
          <w:rFonts w:cs="Arial"/>
        </w:rPr>
        <w:t>ntains data about the documents, working groups, meetings, agendas, presentations and more, of the IETF.</w:t>
      </w:r>
    </w:p>
    <w:p w14:paraId="546316AB" w14:textId="77777777" w:rsidR="00260C2E" w:rsidRPr="00F376A1" w:rsidRDefault="00260C2E" w:rsidP="00260C2E">
      <w:pPr>
        <w:numPr>
          <w:ilvl w:val="0"/>
          <w:numId w:val="3"/>
        </w:numPr>
        <w:rPr>
          <w:rFonts w:cs="Arial"/>
          <w:b/>
        </w:rPr>
      </w:pPr>
      <w:r>
        <w:rPr>
          <w:rFonts w:cs="Arial"/>
          <w:b/>
        </w:rPr>
        <w:t>The TS meets adequate r</w:t>
      </w:r>
      <w:r w:rsidRPr="005D485E">
        <w:rPr>
          <w:rFonts w:cs="Arial"/>
          <w:b/>
        </w:rPr>
        <w:t>equirements</w:t>
      </w:r>
      <w:r>
        <w:rPr>
          <w:rFonts w:cs="Arial"/>
          <w:b/>
        </w:rPr>
        <w:t xml:space="preserve"> </w:t>
      </w:r>
      <w:r w:rsidRPr="00DD0178">
        <w:rPr>
          <w:rFonts w:cs="Arial"/>
        </w:rPr>
        <w:t>set out in Annex II §4</w:t>
      </w:r>
    </w:p>
    <w:p w14:paraId="6B7722C8" w14:textId="77777777" w:rsidR="00FD4DB6" w:rsidRDefault="00FD4DB6" w:rsidP="00F376A1">
      <w:pPr>
        <w:rPr>
          <w:rFonts w:cs="Arial"/>
          <w:b/>
        </w:rPr>
      </w:pPr>
    </w:p>
    <w:p w14:paraId="547E540E" w14:textId="77777777" w:rsidR="00FD4DB6" w:rsidRPr="005D485E" w:rsidRDefault="00FD4DB6" w:rsidP="00F376A1">
      <w:pPr>
        <w:rPr>
          <w:rFonts w:cs="Arial"/>
          <w:b/>
        </w:rPr>
      </w:pPr>
    </w:p>
    <w:p w14:paraId="786990AF" w14:textId="6C557E3B" w:rsidR="00260C2E" w:rsidRDefault="00260C2E" w:rsidP="00260C2E">
      <w:pPr>
        <w:numPr>
          <w:ilvl w:val="2"/>
          <w:numId w:val="3"/>
        </w:numPr>
        <w:tabs>
          <w:tab w:val="clear" w:pos="2160"/>
          <w:tab w:val="num" w:pos="1440"/>
        </w:tabs>
        <w:ind w:left="1440"/>
        <w:rPr>
          <w:rFonts w:cs="Arial"/>
          <w:b/>
        </w:rPr>
      </w:pPr>
      <w:r w:rsidRPr="001B060A">
        <w:rPr>
          <w:rFonts w:cs="Arial"/>
          <w:b/>
        </w:rPr>
        <w:t>Maintenance</w:t>
      </w:r>
      <w:r>
        <w:rPr>
          <w:rFonts w:cs="Arial"/>
          <w:b/>
        </w:rPr>
        <w:t xml:space="preserve"> </w:t>
      </w:r>
    </w:p>
    <w:p w14:paraId="2A841DA6" w14:textId="77777777" w:rsidR="00FD4DB6" w:rsidRPr="00560735" w:rsidRDefault="00FD4DB6" w:rsidP="00F376A1">
      <w:pPr>
        <w:pStyle w:val="Lijstalinea"/>
        <w:snapToGrid w:val="0"/>
        <w:rPr>
          <w:color w:val="000000"/>
        </w:rPr>
      </w:pPr>
      <w:r>
        <w:rPr>
          <w:color w:val="000000"/>
        </w:rPr>
        <w:t xml:space="preserve">OAuth is an </w:t>
      </w:r>
      <w:r w:rsidRPr="00560735">
        <w:rPr>
          <w:color w:val="000000"/>
        </w:rPr>
        <w:t xml:space="preserve">IETF </w:t>
      </w:r>
      <w:r>
        <w:rPr>
          <w:color w:val="000000"/>
        </w:rPr>
        <w:t xml:space="preserve">standard, and as such it follows the defined and publicly available set of processes for </w:t>
      </w:r>
      <w:r w:rsidRPr="00560735">
        <w:rPr>
          <w:color w:val="000000"/>
        </w:rPr>
        <w:t>the modification and revocation of standards</w:t>
      </w:r>
      <w:r>
        <w:rPr>
          <w:color w:val="000000"/>
        </w:rPr>
        <w:t xml:space="preserve"> defined in sections 6.3 and 6.4 of its Internet Standards Process</w:t>
      </w:r>
      <w:r>
        <w:rPr>
          <w:rStyle w:val="Voetnootmarkering"/>
          <w:color w:val="000000"/>
        </w:rPr>
        <w:footnoteReference w:id="2"/>
      </w:r>
      <w:r w:rsidRPr="00560735">
        <w:rPr>
          <w:color w:val="000000"/>
        </w:rPr>
        <w:t xml:space="preserve">. </w:t>
      </w:r>
    </w:p>
    <w:p w14:paraId="04E07F5E" w14:textId="26D89A6A" w:rsidR="00260C2E" w:rsidRDefault="00260C2E" w:rsidP="00260C2E">
      <w:pPr>
        <w:numPr>
          <w:ilvl w:val="2"/>
          <w:numId w:val="3"/>
        </w:numPr>
        <w:ind w:left="1440"/>
        <w:rPr>
          <w:rFonts w:cs="Arial"/>
          <w:b/>
        </w:rPr>
      </w:pPr>
      <w:r w:rsidRPr="001B060A">
        <w:rPr>
          <w:rFonts w:cs="Arial"/>
          <w:b/>
        </w:rPr>
        <w:t>Availability</w:t>
      </w:r>
      <w:r>
        <w:rPr>
          <w:rFonts w:cs="Arial"/>
          <w:b/>
        </w:rPr>
        <w:t xml:space="preserve"> </w:t>
      </w:r>
    </w:p>
    <w:p w14:paraId="4E54947F" w14:textId="55E623DD" w:rsidR="006A19E2" w:rsidRPr="001B060A" w:rsidRDefault="006A19E2" w:rsidP="00F376A1">
      <w:pPr>
        <w:pStyle w:val="Lijstalinea"/>
        <w:rPr>
          <w:rFonts w:cs="Arial"/>
          <w:b/>
        </w:rPr>
      </w:pPr>
      <w:r>
        <w:rPr>
          <w:color w:val="000000"/>
          <w:lang w:eastAsia="ar-SA"/>
        </w:rPr>
        <w:t>As</w:t>
      </w:r>
      <w:r w:rsidRPr="00560735">
        <w:rPr>
          <w:color w:val="000000"/>
          <w:lang w:eastAsia="ar-SA"/>
        </w:rPr>
        <w:t xml:space="preserve"> all the IETF standards, </w:t>
      </w:r>
      <w:r>
        <w:rPr>
          <w:color w:val="000000"/>
          <w:lang w:eastAsia="ar-SA"/>
        </w:rPr>
        <w:t>OAuth 2.0</w:t>
      </w:r>
      <w:r w:rsidRPr="00560735">
        <w:rPr>
          <w:color w:val="000000"/>
          <w:lang w:eastAsia="ar-SA"/>
        </w:rPr>
        <w:t xml:space="preserve"> </w:t>
      </w:r>
      <w:r w:rsidRPr="00560735">
        <w:rPr>
          <w:color w:val="000000"/>
        </w:rPr>
        <w:t>is a free</w:t>
      </w:r>
      <w:r>
        <w:rPr>
          <w:color w:val="000000"/>
        </w:rPr>
        <w:t xml:space="preserve"> and open TS, and it is available for use at the corresponding IETF repository</w:t>
      </w:r>
      <w:r>
        <w:rPr>
          <w:rStyle w:val="Voetnootmarkering"/>
          <w:color w:val="000000"/>
        </w:rPr>
        <w:footnoteReference w:id="3"/>
      </w:r>
      <w:r>
        <w:rPr>
          <w:color w:val="000000"/>
        </w:rPr>
        <w:t>.</w:t>
      </w:r>
    </w:p>
    <w:p w14:paraId="3382DAF1" w14:textId="1457D6A2" w:rsidR="00260C2E" w:rsidRDefault="00260C2E" w:rsidP="00260C2E">
      <w:pPr>
        <w:numPr>
          <w:ilvl w:val="2"/>
          <w:numId w:val="3"/>
        </w:numPr>
        <w:ind w:left="1440"/>
        <w:rPr>
          <w:rFonts w:cs="Arial"/>
          <w:b/>
        </w:rPr>
      </w:pPr>
      <w:r>
        <w:rPr>
          <w:rFonts w:cs="Arial"/>
          <w:b/>
        </w:rPr>
        <w:t xml:space="preserve">Intellectual Property Rights (IPR) </w:t>
      </w:r>
    </w:p>
    <w:p w14:paraId="2B2898FA" w14:textId="3D3BACFA" w:rsidR="00560735" w:rsidRPr="00560735" w:rsidRDefault="00EE198A" w:rsidP="00560735">
      <w:pPr>
        <w:pStyle w:val="Lijstalinea"/>
        <w:rPr>
          <w:color w:val="000000"/>
        </w:rPr>
      </w:pPr>
      <w:r w:rsidRPr="00EE198A">
        <w:rPr>
          <w:color w:val="000000"/>
        </w:rPr>
        <w:t>OAuth 2.0 is licensed by the IETF Trust. It is subject to BCP 78</w:t>
      </w:r>
      <w:r>
        <w:rPr>
          <w:rStyle w:val="Voetnootmarkering"/>
          <w:color w:val="000000"/>
        </w:rPr>
        <w:footnoteReference w:id="4"/>
      </w:r>
      <w:r w:rsidRPr="00EE198A">
        <w:rPr>
          <w:color w:val="000000"/>
        </w:rPr>
        <w:t xml:space="preserve"> and the Trust Legal Provisions in force on the date of TS publication</w:t>
      </w:r>
      <w:r>
        <w:rPr>
          <w:rStyle w:val="Voetnootmarkering"/>
          <w:color w:val="000000"/>
        </w:rPr>
        <w:footnoteReference w:id="5"/>
      </w:r>
      <w:r w:rsidRPr="00EE198A">
        <w:rPr>
          <w:color w:val="000000"/>
        </w:rPr>
        <w:t xml:space="preserve">. IPR claims relating to the TS are available from the IETF </w:t>
      </w:r>
      <w:proofErr w:type="spellStart"/>
      <w:r w:rsidRPr="00EE198A">
        <w:rPr>
          <w:color w:val="000000"/>
        </w:rPr>
        <w:t>Datatracker</w:t>
      </w:r>
      <w:proofErr w:type="spellEnd"/>
      <w:r w:rsidRPr="00EE198A">
        <w:rPr>
          <w:color w:val="000000"/>
        </w:rPr>
        <w:t xml:space="preserve"> IPR Search tool</w:t>
      </w:r>
      <w:r>
        <w:rPr>
          <w:rStyle w:val="Voetnootmarkering"/>
          <w:color w:val="000000"/>
        </w:rPr>
        <w:footnoteReference w:id="6"/>
      </w:r>
      <w:r w:rsidRPr="00EE198A">
        <w:rPr>
          <w:color w:val="000000"/>
        </w:rPr>
        <w:t>.</w:t>
      </w:r>
      <w:r w:rsidR="00625201">
        <w:rPr>
          <w:color w:val="000000"/>
        </w:rPr>
        <w:t xml:space="preserve"> It</w:t>
      </w:r>
      <w:r w:rsidR="00625201" w:rsidRPr="00560735">
        <w:rPr>
          <w:color w:val="000000"/>
        </w:rPr>
        <w:t xml:space="preserve"> is therefore licensed on a royalty-free basis.</w:t>
      </w:r>
    </w:p>
    <w:p w14:paraId="3E2D5568" w14:textId="0E3D0C64" w:rsidR="00C1456F" w:rsidRDefault="00260C2E" w:rsidP="00C1456F">
      <w:pPr>
        <w:numPr>
          <w:ilvl w:val="2"/>
          <w:numId w:val="3"/>
        </w:numPr>
        <w:ind w:left="1440"/>
        <w:rPr>
          <w:rFonts w:cs="Arial"/>
          <w:b/>
        </w:rPr>
      </w:pPr>
      <w:r w:rsidRPr="001B060A">
        <w:rPr>
          <w:rFonts w:cs="Arial"/>
          <w:b/>
        </w:rPr>
        <w:t>Relevance</w:t>
      </w:r>
    </w:p>
    <w:p w14:paraId="476B6810" w14:textId="41C54B2F" w:rsidR="00C1456F" w:rsidRPr="00C1456F" w:rsidRDefault="004A1C9A" w:rsidP="00C1456F">
      <w:pPr>
        <w:ind w:left="720"/>
        <w:rPr>
          <w:rFonts w:cs="Arial"/>
        </w:rPr>
      </w:pPr>
      <w:r>
        <w:rPr>
          <w:rFonts w:cs="Arial"/>
        </w:rPr>
        <w:t>OAuth</w:t>
      </w:r>
      <w:r w:rsidR="00326045">
        <w:rPr>
          <w:rFonts w:cs="Arial"/>
        </w:rPr>
        <w:t xml:space="preserve"> 2.0</w:t>
      </w:r>
      <w:r w:rsidR="00C1456F">
        <w:rPr>
          <w:rFonts w:cs="Arial"/>
        </w:rPr>
        <w:t xml:space="preserve"> contributes to interoperability between public administrations by enabling </w:t>
      </w:r>
      <w:r w:rsidR="00AE71D1">
        <w:rPr>
          <w:rFonts w:cs="Arial"/>
        </w:rPr>
        <w:t xml:space="preserve">the </w:t>
      </w:r>
      <w:r w:rsidR="00C1456F">
        <w:rPr>
          <w:rFonts w:cs="Arial"/>
        </w:rPr>
        <w:t xml:space="preserve">delegation of access to protected resources for client applications between them, </w:t>
      </w:r>
      <w:r w:rsidR="001A39D0">
        <w:rPr>
          <w:rFonts w:cs="Arial"/>
        </w:rPr>
        <w:t xml:space="preserve">which </w:t>
      </w:r>
      <w:r w:rsidR="00C1456F">
        <w:rPr>
          <w:rFonts w:cs="Arial"/>
        </w:rPr>
        <w:t xml:space="preserve">is evidenced by several </w:t>
      </w:r>
      <w:r w:rsidR="001A39D0">
        <w:rPr>
          <w:rFonts w:cs="Arial"/>
        </w:rPr>
        <w:t xml:space="preserve">existing </w:t>
      </w:r>
      <w:r w:rsidR="00C1456F">
        <w:rPr>
          <w:rFonts w:cs="Arial"/>
        </w:rPr>
        <w:t>implementations and references.</w:t>
      </w:r>
      <w:r w:rsidR="00B03C9A">
        <w:rPr>
          <w:rFonts w:cs="Arial"/>
        </w:rPr>
        <w:t xml:space="preserve"> </w:t>
      </w:r>
      <w:r w:rsidR="00C50311">
        <w:rPr>
          <w:rFonts w:cs="Arial"/>
        </w:rPr>
        <w:t>Therefore it</w:t>
      </w:r>
      <w:r w:rsidR="00326045">
        <w:rPr>
          <w:rFonts w:cs="Arial"/>
        </w:rPr>
        <w:t xml:space="preserve"> </w:t>
      </w:r>
      <w:r w:rsidR="00B03C9A">
        <w:rPr>
          <w:rFonts w:cs="Arial"/>
        </w:rPr>
        <w:t>addresses public policy objectives</w:t>
      </w:r>
      <w:r w:rsidR="00C50311">
        <w:rPr>
          <w:rFonts w:cs="Arial"/>
        </w:rPr>
        <w:t>, and example of which would be the NIS Directive</w:t>
      </w:r>
      <w:r w:rsidR="00C50311">
        <w:rPr>
          <w:rStyle w:val="Voetnootmarkering"/>
          <w:rFonts w:cs="Arial"/>
        </w:rPr>
        <w:footnoteReference w:id="7"/>
      </w:r>
      <w:r w:rsidR="00A74A51">
        <w:rPr>
          <w:rFonts w:cs="Arial"/>
        </w:rPr>
        <w:t xml:space="preserve">. Regarding societal needs, it tackles the increasing need for security in some of the most breaking-edge technologies at the moment, like it is the case of </w:t>
      </w:r>
      <w:proofErr w:type="spellStart"/>
      <w:r w:rsidR="00A74A51">
        <w:rPr>
          <w:rFonts w:cs="Arial"/>
        </w:rPr>
        <w:t>IoT</w:t>
      </w:r>
      <w:proofErr w:type="spellEnd"/>
      <w:r w:rsidR="00A74A51">
        <w:rPr>
          <w:rStyle w:val="Voetnootmarkering"/>
          <w:rFonts w:cs="Arial"/>
        </w:rPr>
        <w:footnoteReference w:id="8"/>
      </w:r>
      <w:r w:rsidR="00A74A51">
        <w:rPr>
          <w:rFonts w:cs="Arial"/>
        </w:rPr>
        <w:t>.</w:t>
      </w:r>
    </w:p>
    <w:p w14:paraId="72C8D84D" w14:textId="7145B86D" w:rsidR="00260C2E" w:rsidRDefault="00260C2E" w:rsidP="00260C2E">
      <w:pPr>
        <w:numPr>
          <w:ilvl w:val="2"/>
          <w:numId w:val="3"/>
        </w:numPr>
        <w:ind w:left="1440"/>
        <w:rPr>
          <w:rFonts w:cs="Arial"/>
        </w:rPr>
      </w:pPr>
      <w:r w:rsidRPr="001B060A">
        <w:rPr>
          <w:rFonts w:cs="Arial"/>
          <w:b/>
        </w:rPr>
        <w:t>Neutrality</w:t>
      </w:r>
      <w:r>
        <w:rPr>
          <w:rFonts w:cs="Arial"/>
          <w:b/>
        </w:rPr>
        <w:t xml:space="preserve"> and stability</w:t>
      </w:r>
      <w:r>
        <w:rPr>
          <w:rFonts w:cs="Arial"/>
        </w:rPr>
        <w:t xml:space="preserve"> </w:t>
      </w:r>
    </w:p>
    <w:p w14:paraId="4686823F" w14:textId="7C8AAC4D" w:rsidR="00560735" w:rsidRPr="00560735" w:rsidRDefault="004A1C9A" w:rsidP="00560735">
      <w:pPr>
        <w:ind w:left="720"/>
        <w:rPr>
          <w:color w:val="000000"/>
          <w:highlight w:val="yellow"/>
        </w:rPr>
      </w:pPr>
      <w:r>
        <w:rPr>
          <w:color w:val="000000"/>
        </w:rPr>
        <w:t>OAuth</w:t>
      </w:r>
      <w:r w:rsidR="00560735" w:rsidRPr="00560735">
        <w:rPr>
          <w:color w:val="000000"/>
        </w:rPr>
        <w:t xml:space="preserve"> </w:t>
      </w:r>
      <w:r w:rsidR="00694681">
        <w:rPr>
          <w:color w:val="000000"/>
        </w:rPr>
        <w:t xml:space="preserve">2.0 </w:t>
      </w:r>
      <w:r w:rsidR="001A39D0">
        <w:rPr>
          <w:color w:val="000000"/>
        </w:rPr>
        <w:t xml:space="preserve">keeps no dependencies on other </w:t>
      </w:r>
      <w:r w:rsidR="00560735" w:rsidRPr="00560735">
        <w:rPr>
          <w:color w:val="000000"/>
        </w:rPr>
        <w:t>specif</w:t>
      </w:r>
      <w:r w:rsidR="00560735">
        <w:rPr>
          <w:color w:val="000000"/>
        </w:rPr>
        <w:t>ic products, platforms or technologies</w:t>
      </w:r>
      <w:r w:rsidR="00647771">
        <w:rPr>
          <w:color w:val="000000"/>
        </w:rPr>
        <w:t>;</w:t>
      </w:r>
      <w:r w:rsidR="001A39D0">
        <w:rPr>
          <w:color w:val="000000"/>
        </w:rPr>
        <w:t xml:space="preserve"> and has reached maturity and stability.</w:t>
      </w:r>
    </w:p>
    <w:p w14:paraId="4A675403" w14:textId="790EC41D" w:rsidR="00560735" w:rsidRPr="00B03C9A" w:rsidRDefault="00560735" w:rsidP="00260C2E">
      <w:pPr>
        <w:numPr>
          <w:ilvl w:val="2"/>
          <w:numId w:val="3"/>
        </w:numPr>
        <w:ind w:left="1440"/>
        <w:rPr>
          <w:rFonts w:cs="Arial"/>
          <w:b/>
        </w:rPr>
      </w:pPr>
      <w:r w:rsidRPr="00B03C9A">
        <w:rPr>
          <w:rFonts w:cs="Arial"/>
          <w:b/>
        </w:rPr>
        <w:t>Quality</w:t>
      </w:r>
    </w:p>
    <w:p w14:paraId="15A846C7" w14:textId="013A7735" w:rsidR="00106AEA" w:rsidRDefault="004A1C9A" w:rsidP="00B03C9A">
      <w:pPr>
        <w:ind w:left="720"/>
        <w:rPr>
          <w:rFonts w:cs="Arial"/>
          <w:szCs w:val="20"/>
        </w:rPr>
      </w:pPr>
      <w:r>
        <w:rPr>
          <w:rFonts w:cs="Arial"/>
        </w:rPr>
        <w:t>OAuth</w:t>
      </w:r>
      <w:r w:rsidR="00B03C9A">
        <w:rPr>
          <w:rFonts w:cs="Arial"/>
        </w:rPr>
        <w:t xml:space="preserve"> 2.0 has</w:t>
      </w:r>
      <w:r w:rsidR="00B03C9A" w:rsidRPr="00B03C9A">
        <w:rPr>
          <w:rFonts w:cs="Arial"/>
        </w:rPr>
        <w:t xml:space="preserve"> sufficient detail, consistency and completeness for the use and development of products and services</w:t>
      </w:r>
      <w:r w:rsidR="00B03C9A">
        <w:rPr>
          <w:rFonts w:cs="Arial"/>
        </w:rPr>
        <w:t>. It</w:t>
      </w:r>
      <w:r w:rsidR="00B03C9A" w:rsidRPr="00B03C9A">
        <w:rPr>
          <w:rFonts w:cs="Arial"/>
        </w:rPr>
        <w:t xml:space="preserve"> is evidenced by </w:t>
      </w:r>
      <w:r w:rsidR="00484C85">
        <w:rPr>
          <w:rFonts w:cs="Arial"/>
        </w:rPr>
        <w:t xml:space="preserve">its wide use </w:t>
      </w:r>
      <w:r w:rsidR="00694681">
        <w:rPr>
          <w:rFonts w:cs="Arial"/>
        </w:rPr>
        <w:t>as a security TS</w:t>
      </w:r>
      <w:r w:rsidR="00B03C9A" w:rsidRPr="00B03C9A">
        <w:rPr>
          <w:rFonts w:cs="Arial"/>
        </w:rPr>
        <w:t xml:space="preserve"> for phones, tablets, wearables, and internet of things devices.</w:t>
      </w:r>
      <w:r w:rsidR="00106AEA">
        <w:rPr>
          <w:rFonts w:cs="Arial"/>
          <w:szCs w:val="20"/>
        </w:rPr>
        <w:br w:type="page"/>
      </w:r>
    </w:p>
    <w:p w14:paraId="15A846C8" w14:textId="2C183968" w:rsidR="00AC6614" w:rsidRDefault="00AC6614" w:rsidP="007D1E43">
      <w:pPr>
        <w:rPr>
          <w:rFonts w:cs="Arial"/>
          <w:b/>
          <w:szCs w:val="20"/>
        </w:rPr>
      </w:pPr>
      <w:r w:rsidRPr="00DE0BEC">
        <w:rPr>
          <w:rFonts w:cs="Arial"/>
          <w:b/>
          <w:szCs w:val="20"/>
        </w:rPr>
        <w:lastRenderedPageBreak/>
        <w:t>III. Assessment Results</w:t>
      </w:r>
    </w:p>
    <w:tbl>
      <w:tblPr>
        <w:tblpPr w:leftFromText="180" w:rightFromText="180" w:vertAnchor="text" w:horzAnchor="margin" w:tblpY="1198"/>
        <w:tblW w:w="5080" w:type="pct"/>
        <w:tblCellSpacing w:w="0" w:type="dxa"/>
        <w:tblCellMar>
          <w:top w:w="15" w:type="dxa"/>
          <w:left w:w="15" w:type="dxa"/>
          <w:bottom w:w="15" w:type="dxa"/>
          <w:right w:w="15" w:type="dxa"/>
        </w:tblCellMar>
        <w:tblLook w:val="04A0" w:firstRow="1" w:lastRow="0" w:firstColumn="1" w:lastColumn="0" w:noHBand="0" w:noVBand="1"/>
      </w:tblPr>
      <w:tblGrid>
        <w:gridCol w:w="1938"/>
        <w:gridCol w:w="1559"/>
        <w:gridCol w:w="1397"/>
        <w:gridCol w:w="1473"/>
        <w:gridCol w:w="1776"/>
        <w:gridCol w:w="1397"/>
      </w:tblGrid>
      <w:tr w:rsidR="00FC13BC" w:rsidRPr="00CB4B9A" w14:paraId="6119F9EF" w14:textId="77777777" w:rsidTr="00FC13BC">
        <w:trPr>
          <w:trHeight w:val="298"/>
          <w:tblCellSpacing w:w="0" w:type="dxa"/>
        </w:trPr>
        <w:tc>
          <w:tcPr>
            <w:tcW w:w="1016" w:type="pct"/>
            <w:shd w:val="clear" w:color="auto" w:fill="003366"/>
            <w:vAlign w:val="center"/>
            <w:hideMark/>
          </w:tcPr>
          <w:p w14:paraId="6FAE5412" w14:textId="77777777" w:rsidR="00FC13BC" w:rsidRPr="00406C9F" w:rsidRDefault="00FC13BC" w:rsidP="00FC13BC">
            <w:pPr>
              <w:spacing w:after="0" w:line="240" w:lineRule="auto"/>
              <w:jc w:val="center"/>
              <w:rPr>
                <w:rFonts w:eastAsia="Times New Roman" w:cs="Arial"/>
                <w:b/>
                <w:sz w:val="16"/>
                <w:szCs w:val="16"/>
              </w:rPr>
            </w:pPr>
            <w:r w:rsidRPr="00406C9F">
              <w:rPr>
                <w:rFonts w:eastAsia="Times New Roman" w:cs="Arial"/>
                <w:b/>
                <w:color w:val="FFFFFF"/>
                <w:sz w:val="16"/>
                <w:szCs w:val="16"/>
              </w:rPr>
              <w:t>Category</w:t>
            </w:r>
          </w:p>
        </w:tc>
        <w:tc>
          <w:tcPr>
            <w:tcW w:w="817" w:type="pct"/>
            <w:shd w:val="clear" w:color="auto" w:fill="003366"/>
            <w:vAlign w:val="center"/>
            <w:hideMark/>
          </w:tcPr>
          <w:p w14:paraId="0DDC2A28" w14:textId="77777777" w:rsidR="00FC13BC" w:rsidRPr="00CB4B9A" w:rsidRDefault="00FC13BC" w:rsidP="00FC13BC">
            <w:pPr>
              <w:spacing w:after="0" w:line="240" w:lineRule="auto"/>
              <w:jc w:val="center"/>
              <w:rPr>
                <w:rFonts w:eastAsia="Times New Roman" w:cs="Arial"/>
                <w:b/>
                <w:sz w:val="16"/>
                <w:szCs w:val="16"/>
              </w:rPr>
            </w:pPr>
            <w:r w:rsidRPr="00CB4B9A">
              <w:rPr>
                <w:rFonts w:eastAsia="Times New Roman" w:cs="Arial"/>
                <w:b/>
                <w:color w:val="FFFFFF"/>
                <w:sz w:val="16"/>
                <w:szCs w:val="16"/>
              </w:rPr>
              <w:t>Automated Score</w:t>
            </w:r>
          </w:p>
        </w:tc>
        <w:tc>
          <w:tcPr>
            <w:tcW w:w="732" w:type="pct"/>
            <w:shd w:val="clear" w:color="auto" w:fill="003366"/>
            <w:vAlign w:val="center"/>
            <w:hideMark/>
          </w:tcPr>
          <w:p w14:paraId="5249FE7F" w14:textId="77777777" w:rsidR="00FC13BC" w:rsidRPr="00CB4B9A" w:rsidRDefault="00FC13BC" w:rsidP="00FC13BC">
            <w:pPr>
              <w:spacing w:after="0" w:line="240" w:lineRule="auto"/>
              <w:jc w:val="center"/>
              <w:rPr>
                <w:rFonts w:eastAsia="Times New Roman" w:cs="Arial"/>
                <w:b/>
                <w:sz w:val="16"/>
                <w:szCs w:val="16"/>
              </w:rPr>
            </w:pPr>
            <w:r w:rsidRPr="00CB4B9A">
              <w:rPr>
                <w:rFonts w:eastAsia="Times New Roman" w:cs="Arial"/>
                <w:b/>
                <w:color w:val="FFFFFF"/>
                <w:sz w:val="16"/>
                <w:szCs w:val="16"/>
              </w:rPr>
              <w:t>CAMSS Strength</w:t>
            </w:r>
          </w:p>
        </w:tc>
        <w:tc>
          <w:tcPr>
            <w:tcW w:w="772" w:type="pct"/>
            <w:shd w:val="clear" w:color="auto" w:fill="003366"/>
            <w:vAlign w:val="center"/>
            <w:hideMark/>
          </w:tcPr>
          <w:p w14:paraId="7BB5304A" w14:textId="77777777" w:rsidR="00FC13BC" w:rsidRPr="00406C9F" w:rsidRDefault="00FC13BC" w:rsidP="00FC13BC">
            <w:pPr>
              <w:spacing w:after="0" w:line="240" w:lineRule="auto"/>
              <w:jc w:val="center"/>
              <w:rPr>
                <w:rFonts w:eastAsia="Times New Roman" w:cs="Arial"/>
                <w:b/>
                <w:sz w:val="16"/>
                <w:szCs w:val="16"/>
              </w:rPr>
            </w:pPr>
            <w:r w:rsidRPr="00406C9F">
              <w:rPr>
                <w:rFonts w:eastAsia="Times New Roman" w:cs="Arial"/>
                <w:b/>
                <w:color w:val="FFFFFF"/>
                <w:sz w:val="16"/>
                <w:szCs w:val="16"/>
              </w:rPr>
              <w:t># Favourable</w:t>
            </w:r>
          </w:p>
        </w:tc>
        <w:tc>
          <w:tcPr>
            <w:tcW w:w="931" w:type="pct"/>
            <w:shd w:val="clear" w:color="auto" w:fill="003366"/>
            <w:vAlign w:val="center"/>
            <w:hideMark/>
          </w:tcPr>
          <w:p w14:paraId="710A8522" w14:textId="77777777" w:rsidR="00FC13BC" w:rsidRPr="00406C9F" w:rsidRDefault="00FC13BC" w:rsidP="00FC13BC">
            <w:pPr>
              <w:spacing w:after="0" w:line="240" w:lineRule="auto"/>
              <w:jc w:val="center"/>
              <w:rPr>
                <w:rFonts w:eastAsia="Times New Roman" w:cs="Arial"/>
                <w:b/>
                <w:sz w:val="16"/>
                <w:szCs w:val="16"/>
              </w:rPr>
            </w:pPr>
            <w:r w:rsidRPr="00406C9F">
              <w:rPr>
                <w:rFonts w:eastAsia="Times New Roman" w:cs="Arial"/>
                <w:b/>
                <w:color w:val="FFFFFF"/>
                <w:sz w:val="16"/>
                <w:szCs w:val="16"/>
              </w:rPr>
              <w:t># Unfavourable</w:t>
            </w:r>
          </w:p>
        </w:tc>
        <w:tc>
          <w:tcPr>
            <w:tcW w:w="732" w:type="pct"/>
            <w:shd w:val="clear" w:color="auto" w:fill="003366"/>
            <w:vAlign w:val="center"/>
            <w:hideMark/>
          </w:tcPr>
          <w:p w14:paraId="3BA26C1A" w14:textId="77777777" w:rsidR="00FC13BC" w:rsidRPr="00CB4B9A" w:rsidRDefault="00FC13BC" w:rsidP="00FC13BC">
            <w:pPr>
              <w:spacing w:after="0" w:line="240" w:lineRule="auto"/>
              <w:jc w:val="center"/>
              <w:rPr>
                <w:rFonts w:eastAsia="Times New Roman" w:cs="Arial"/>
                <w:b/>
                <w:sz w:val="16"/>
                <w:szCs w:val="16"/>
              </w:rPr>
            </w:pPr>
            <w:r w:rsidRPr="00CB4B9A">
              <w:rPr>
                <w:rFonts w:eastAsia="Times New Roman" w:cs="Arial"/>
                <w:b/>
                <w:color w:val="FFFFFF"/>
                <w:sz w:val="16"/>
                <w:szCs w:val="16"/>
              </w:rPr>
              <w:t># Not Applicable</w:t>
            </w:r>
          </w:p>
        </w:tc>
      </w:tr>
      <w:tr w:rsidR="00FC13BC" w:rsidRPr="00CB4B9A" w14:paraId="640328C7" w14:textId="77777777" w:rsidTr="00FC13BC">
        <w:trPr>
          <w:trHeight w:val="98"/>
          <w:tblCellSpacing w:w="0" w:type="dxa"/>
        </w:trPr>
        <w:tc>
          <w:tcPr>
            <w:tcW w:w="1016" w:type="pct"/>
            <w:tcBorders>
              <w:top w:val="single" w:sz="6" w:space="0" w:color="EEEEEE"/>
              <w:left w:val="single" w:sz="6" w:space="0" w:color="EEEEEE"/>
              <w:bottom w:val="single" w:sz="6" w:space="0" w:color="EEEEEE"/>
              <w:right w:val="single" w:sz="6" w:space="0" w:color="EEEEEE"/>
            </w:tcBorders>
            <w:vAlign w:val="bottom"/>
            <w:hideMark/>
          </w:tcPr>
          <w:p w14:paraId="3C963385" w14:textId="77777777" w:rsidR="00FC13BC" w:rsidRPr="00406C9F" w:rsidRDefault="00FC13BC" w:rsidP="00FC13BC">
            <w:pPr>
              <w:spacing w:after="0" w:line="240" w:lineRule="auto"/>
              <w:rPr>
                <w:rFonts w:eastAsia="Times New Roman" w:cs="Arial"/>
                <w:sz w:val="16"/>
                <w:szCs w:val="16"/>
              </w:rPr>
            </w:pPr>
            <w:r w:rsidRPr="00406C9F">
              <w:rPr>
                <w:rFonts w:eastAsia="Times New Roman" w:cs="Arial"/>
                <w:color w:val="000000"/>
                <w:sz w:val="16"/>
                <w:szCs w:val="16"/>
              </w:rPr>
              <w:t>Market acceptance</w:t>
            </w:r>
          </w:p>
        </w:tc>
        <w:tc>
          <w:tcPr>
            <w:tcW w:w="817" w:type="pct"/>
            <w:tcBorders>
              <w:top w:val="single" w:sz="6" w:space="0" w:color="EEEEEE"/>
              <w:left w:val="single" w:sz="6" w:space="0" w:color="EEEEEE"/>
              <w:bottom w:val="single" w:sz="6" w:space="0" w:color="EEEEEE"/>
              <w:right w:val="single" w:sz="6" w:space="0" w:color="EEEEEE"/>
            </w:tcBorders>
            <w:vAlign w:val="bottom"/>
            <w:hideMark/>
          </w:tcPr>
          <w:p w14:paraId="69434C28" w14:textId="77777777" w:rsidR="00FC13BC" w:rsidRPr="00406C9F" w:rsidRDefault="00FC13BC" w:rsidP="00FC13BC">
            <w:pPr>
              <w:spacing w:after="0" w:line="240" w:lineRule="auto"/>
              <w:jc w:val="center"/>
              <w:rPr>
                <w:rFonts w:eastAsia="Times New Roman" w:cs="Arial"/>
                <w:b/>
                <w:sz w:val="16"/>
                <w:szCs w:val="16"/>
              </w:rPr>
            </w:pPr>
            <w:r w:rsidRPr="00CB4B9A">
              <w:rPr>
                <w:rFonts w:cs="Arial"/>
                <w:color w:val="000000"/>
                <w:sz w:val="16"/>
                <w:szCs w:val="16"/>
              </w:rPr>
              <w:t>100 %</w:t>
            </w:r>
          </w:p>
        </w:tc>
        <w:tc>
          <w:tcPr>
            <w:tcW w:w="732" w:type="pct"/>
            <w:tcBorders>
              <w:top w:val="single" w:sz="6" w:space="0" w:color="EEEEEE"/>
              <w:left w:val="single" w:sz="6" w:space="0" w:color="EEEEEE"/>
              <w:bottom w:val="single" w:sz="6" w:space="0" w:color="EEEEEE"/>
              <w:right w:val="single" w:sz="6" w:space="0" w:color="EEEEEE"/>
            </w:tcBorders>
            <w:vAlign w:val="bottom"/>
            <w:hideMark/>
          </w:tcPr>
          <w:p w14:paraId="55CD8860" w14:textId="77777777" w:rsidR="00FC13BC" w:rsidRPr="00406C9F" w:rsidRDefault="00FC13BC" w:rsidP="00FC13BC">
            <w:pPr>
              <w:spacing w:after="0" w:line="240" w:lineRule="auto"/>
              <w:jc w:val="center"/>
              <w:rPr>
                <w:rFonts w:eastAsia="Times New Roman" w:cs="Arial"/>
                <w:b/>
                <w:sz w:val="16"/>
                <w:szCs w:val="16"/>
              </w:rPr>
            </w:pPr>
            <w:r w:rsidRPr="00CB4B9A">
              <w:rPr>
                <w:rFonts w:cs="Arial"/>
                <w:color w:val="000000"/>
                <w:sz w:val="16"/>
                <w:szCs w:val="16"/>
              </w:rPr>
              <w:t>100 %</w:t>
            </w:r>
          </w:p>
        </w:tc>
        <w:tc>
          <w:tcPr>
            <w:tcW w:w="772" w:type="pct"/>
            <w:tcBorders>
              <w:top w:val="single" w:sz="6" w:space="0" w:color="EEEEEE"/>
              <w:left w:val="single" w:sz="6" w:space="0" w:color="EEEEEE"/>
              <w:bottom w:val="single" w:sz="6" w:space="0" w:color="EEEEEE"/>
              <w:right w:val="single" w:sz="6" w:space="0" w:color="EEEEEE"/>
            </w:tcBorders>
            <w:vAlign w:val="bottom"/>
            <w:hideMark/>
          </w:tcPr>
          <w:p w14:paraId="48F5AFA7" w14:textId="77777777" w:rsidR="00FC13BC" w:rsidRPr="00406C9F" w:rsidRDefault="00FC13BC" w:rsidP="00FC13BC">
            <w:pPr>
              <w:spacing w:after="0" w:line="240" w:lineRule="auto"/>
              <w:jc w:val="center"/>
              <w:rPr>
                <w:rFonts w:eastAsia="Times New Roman" w:cs="Arial"/>
                <w:b/>
                <w:sz w:val="16"/>
                <w:szCs w:val="16"/>
              </w:rPr>
            </w:pPr>
            <w:r w:rsidRPr="00CB4B9A">
              <w:rPr>
                <w:rFonts w:cs="Arial"/>
                <w:color w:val="000000"/>
                <w:sz w:val="16"/>
                <w:szCs w:val="16"/>
              </w:rPr>
              <w:t>3</w:t>
            </w:r>
          </w:p>
        </w:tc>
        <w:tc>
          <w:tcPr>
            <w:tcW w:w="931" w:type="pct"/>
            <w:tcBorders>
              <w:top w:val="single" w:sz="6" w:space="0" w:color="EEEEEE"/>
              <w:left w:val="single" w:sz="6" w:space="0" w:color="EEEEEE"/>
              <w:bottom w:val="single" w:sz="6" w:space="0" w:color="EEEEEE"/>
              <w:right w:val="single" w:sz="6" w:space="0" w:color="EEEEEE"/>
            </w:tcBorders>
            <w:vAlign w:val="bottom"/>
            <w:hideMark/>
          </w:tcPr>
          <w:p w14:paraId="14607F46" w14:textId="77777777" w:rsidR="00FC13BC" w:rsidRPr="00406C9F" w:rsidRDefault="00FC13BC" w:rsidP="00FC13BC">
            <w:pPr>
              <w:spacing w:after="0" w:line="240" w:lineRule="auto"/>
              <w:jc w:val="center"/>
              <w:rPr>
                <w:rFonts w:eastAsia="Times New Roman" w:cs="Arial"/>
                <w:b/>
                <w:sz w:val="16"/>
                <w:szCs w:val="16"/>
              </w:rPr>
            </w:pPr>
            <w:r w:rsidRPr="00CB4B9A">
              <w:rPr>
                <w:rFonts w:cs="Arial"/>
                <w:color w:val="000000"/>
                <w:sz w:val="16"/>
                <w:szCs w:val="16"/>
              </w:rPr>
              <w:t>0</w:t>
            </w:r>
          </w:p>
        </w:tc>
        <w:tc>
          <w:tcPr>
            <w:tcW w:w="732" w:type="pct"/>
            <w:tcBorders>
              <w:top w:val="single" w:sz="6" w:space="0" w:color="EEEEEE"/>
              <w:left w:val="single" w:sz="6" w:space="0" w:color="EEEEEE"/>
              <w:bottom w:val="single" w:sz="6" w:space="0" w:color="EEEEEE"/>
              <w:right w:val="single" w:sz="6" w:space="0" w:color="EEEEEE"/>
            </w:tcBorders>
            <w:vAlign w:val="bottom"/>
            <w:hideMark/>
          </w:tcPr>
          <w:p w14:paraId="54FF5F98" w14:textId="77777777" w:rsidR="00FC13BC" w:rsidRPr="00406C9F" w:rsidRDefault="00FC13BC" w:rsidP="00FC13BC">
            <w:pPr>
              <w:spacing w:after="0" w:line="240" w:lineRule="auto"/>
              <w:jc w:val="center"/>
              <w:rPr>
                <w:rFonts w:eastAsia="Times New Roman" w:cs="Arial"/>
                <w:b/>
                <w:sz w:val="16"/>
                <w:szCs w:val="16"/>
              </w:rPr>
            </w:pPr>
            <w:r w:rsidRPr="00CB4B9A">
              <w:rPr>
                <w:rFonts w:cs="Arial"/>
                <w:color w:val="000000"/>
                <w:sz w:val="16"/>
                <w:szCs w:val="16"/>
              </w:rPr>
              <w:t>0</w:t>
            </w:r>
          </w:p>
        </w:tc>
      </w:tr>
      <w:tr w:rsidR="00FC13BC" w:rsidRPr="00CB4B9A" w14:paraId="4A3B2593" w14:textId="77777777" w:rsidTr="00FC13BC">
        <w:trPr>
          <w:trHeight w:val="98"/>
          <w:tblCellSpacing w:w="0" w:type="dxa"/>
        </w:trPr>
        <w:tc>
          <w:tcPr>
            <w:tcW w:w="1016" w:type="pct"/>
            <w:tcBorders>
              <w:top w:val="single" w:sz="6" w:space="0" w:color="EEEEEE"/>
              <w:left w:val="single" w:sz="6" w:space="0" w:color="EEEEEE"/>
              <w:bottom w:val="single" w:sz="6" w:space="0" w:color="EEEEEE"/>
              <w:right w:val="single" w:sz="6" w:space="0" w:color="EEEEEE"/>
            </w:tcBorders>
            <w:vAlign w:val="bottom"/>
          </w:tcPr>
          <w:p w14:paraId="68403CF9" w14:textId="77777777" w:rsidR="00FC13BC" w:rsidRPr="00406C9F" w:rsidRDefault="00FC13BC" w:rsidP="00FC13BC">
            <w:pPr>
              <w:spacing w:after="0" w:line="240" w:lineRule="auto"/>
              <w:rPr>
                <w:rFonts w:eastAsia="Times New Roman" w:cs="Arial"/>
                <w:color w:val="000000"/>
                <w:sz w:val="16"/>
                <w:szCs w:val="16"/>
              </w:rPr>
            </w:pPr>
            <w:r w:rsidRPr="00406C9F">
              <w:rPr>
                <w:rFonts w:cs="Arial"/>
                <w:color w:val="000000"/>
                <w:sz w:val="16"/>
                <w:szCs w:val="16"/>
              </w:rPr>
              <w:t>Coherence principle</w:t>
            </w:r>
          </w:p>
        </w:tc>
        <w:tc>
          <w:tcPr>
            <w:tcW w:w="817" w:type="pct"/>
            <w:tcBorders>
              <w:top w:val="single" w:sz="6" w:space="0" w:color="EEEEEE"/>
              <w:left w:val="single" w:sz="6" w:space="0" w:color="EEEEEE"/>
              <w:bottom w:val="single" w:sz="6" w:space="0" w:color="EEEEEE"/>
              <w:right w:val="single" w:sz="6" w:space="0" w:color="EEEEEE"/>
            </w:tcBorders>
            <w:vAlign w:val="bottom"/>
          </w:tcPr>
          <w:p w14:paraId="036FFEC4" w14:textId="77777777" w:rsidR="00FC13BC" w:rsidRPr="00406C9F" w:rsidRDefault="00FC13BC" w:rsidP="00FC13BC">
            <w:pPr>
              <w:spacing w:after="0" w:line="240" w:lineRule="auto"/>
              <w:jc w:val="center"/>
              <w:rPr>
                <w:rFonts w:eastAsia="Times New Roman" w:cs="Arial"/>
                <w:b/>
                <w:sz w:val="16"/>
                <w:szCs w:val="16"/>
              </w:rPr>
            </w:pPr>
            <w:r w:rsidRPr="00CB4B9A">
              <w:rPr>
                <w:rFonts w:cs="Arial"/>
                <w:color w:val="000000"/>
                <w:sz w:val="16"/>
                <w:szCs w:val="16"/>
              </w:rPr>
              <w:t>100 %</w:t>
            </w:r>
          </w:p>
        </w:tc>
        <w:tc>
          <w:tcPr>
            <w:tcW w:w="732" w:type="pct"/>
            <w:tcBorders>
              <w:top w:val="single" w:sz="6" w:space="0" w:color="EEEEEE"/>
              <w:left w:val="single" w:sz="6" w:space="0" w:color="EEEEEE"/>
              <w:bottom w:val="single" w:sz="6" w:space="0" w:color="EEEEEE"/>
              <w:right w:val="single" w:sz="6" w:space="0" w:color="EEEEEE"/>
            </w:tcBorders>
            <w:vAlign w:val="bottom"/>
          </w:tcPr>
          <w:p w14:paraId="7A8D64AA" w14:textId="77777777" w:rsidR="00FC13BC" w:rsidRPr="00406C9F" w:rsidRDefault="00FC13BC" w:rsidP="00FC13BC">
            <w:pPr>
              <w:spacing w:after="0" w:line="240" w:lineRule="auto"/>
              <w:jc w:val="center"/>
              <w:rPr>
                <w:rFonts w:eastAsia="Times New Roman" w:cs="Arial"/>
                <w:b/>
                <w:sz w:val="16"/>
                <w:szCs w:val="16"/>
              </w:rPr>
            </w:pPr>
            <w:r w:rsidRPr="00CB4B9A">
              <w:rPr>
                <w:rFonts w:cs="Arial"/>
                <w:color w:val="000000"/>
                <w:sz w:val="16"/>
                <w:szCs w:val="16"/>
              </w:rPr>
              <w:t>100 %</w:t>
            </w:r>
          </w:p>
        </w:tc>
        <w:tc>
          <w:tcPr>
            <w:tcW w:w="772" w:type="pct"/>
            <w:tcBorders>
              <w:top w:val="single" w:sz="6" w:space="0" w:color="EEEEEE"/>
              <w:left w:val="single" w:sz="6" w:space="0" w:color="EEEEEE"/>
              <w:bottom w:val="single" w:sz="6" w:space="0" w:color="EEEEEE"/>
              <w:right w:val="single" w:sz="6" w:space="0" w:color="EEEEEE"/>
            </w:tcBorders>
            <w:vAlign w:val="bottom"/>
          </w:tcPr>
          <w:p w14:paraId="1D5BC831" w14:textId="77777777" w:rsidR="00FC13BC" w:rsidRPr="00406C9F" w:rsidRDefault="00FC13BC" w:rsidP="00FC13BC">
            <w:pPr>
              <w:spacing w:after="0" w:line="240" w:lineRule="auto"/>
              <w:jc w:val="center"/>
              <w:rPr>
                <w:rFonts w:eastAsia="Times New Roman" w:cs="Arial"/>
                <w:b/>
                <w:sz w:val="16"/>
                <w:szCs w:val="16"/>
              </w:rPr>
            </w:pPr>
            <w:r w:rsidRPr="00CB4B9A">
              <w:rPr>
                <w:rFonts w:cs="Arial"/>
                <w:color w:val="000000"/>
                <w:sz w:val="16"/>
                <w:szCs w:val="16"/>
              </w:rPr>
              <w:t>3</w:t>
            </w:r>
          </w:p>
        </w:tc>
        <w:tc>
          <w:tcPr>
            <w:tcW w:w="931" w:type="pct"/>
            <w:tcBorders>
              <w:top w:val="single" w:sz="6" w:space="0" w:color="EEEEEE"/>
              <w:left w:val="single" w:sz="6" w:space="0" w:color="EEEEEE"/>
              <w:bottom w:val="single" w:sz="6" w:space="0" w:color="EEEEEE"/>
              <w:right w:val="single" w:sz="6" w:space="0" w:color="EEEEEE"/>
            </w:tcBorders>
            <w:vAlign w:val="bottom"/>
          </w:tcPr>
          <w:p w14:paraId="651BD225" w14:textId="77777777" w:rsidR="00FC13BC" w:rsidRPr="00406C9F" w:rsidRDefault="00FC13BC" w:rsidP="00FC13BC">
            <w:pPr>
              <w:spacing w:after="0" w:line="240" w:lineRule="auto"/>
              <w:jc w:val="center"/>
              <w:rPr>
                <w:rFonts w:eastAsia="Times New Roman" w:cs="Arial"/>
                <w:b/>
                <w:sz w:val="16"/>
                <w:szCs w:val="16"/>
              </w:rPr>
            </w:pPr>
            <w:r w:rsidRPr="00CB4B9A">
              <w:rPr>
                <w:rFonts w:cs="Arial"/>
                <w:color w:val="000000"/>
                <w:sz w:val="16"/>
                <w:szCs w:val="16"/>
              </w:rPr>
              <w:t>0</w:t>
            </w:r>
          </w:p>
        </w:tc>
        <w:tc>
          <w:tcPr>
            <w:tcW w:w="732" w:type="pct"/>
            <w:tcBorders>
              <w:top w:val="single" w:sz="6" w:space="0" w:color="EEEEEE"/>
              <w:left w:val="single" w:sz="6" w:space="0" w:color="EEEEEE"/>
              <w:bottom w:val="single" w:sz="6" w:space="0" w:color="EEEEEE"/>
              <w:right w:val="single" w:sz="6" w:space="0" w:color="EEEEEE"/>
            </w:tcBorders>
            <w:vAlign w:val="bottom"/>
          </w:tcPr>
          <w:p w14:paraId="7759C72E" w14:textId="77777777" w:rsidR="00FC13BC" w:rsidRPr="00406C9F" w:rsidRDefault="00FC13BC" w:rsidP="00FC13BC">
            <w:pPr>
              <w:spacing w:after="0" w:line="240" w:lineRule="auto"/>
              <w:jc w:val="center"/>
              <w:rPr>
                <w:rFonts w:eastAsia="Times New Roman" w:cs="Arial"/>
                <w:b/>
                <w:sz w:val="16"/>
                <w:szCs w:val="16"/>
              </w:rPr>
            </w:pPr>
            <w:r w:rsidRPr="00CB4B9A">
              <w:rPr>
                <w:rFonts w:cs="Arial"/>
                <w:color w:val="000000"/>
                <w:sz w:val="16"/>
                <w:szCs w:val="16"/>
              </w:rPr>
              <w:t>0</w:t>
            </w:r>
          </w:p>
        </w:tc>
      </w:tr>
      <w:tr w:rsidR="00FC13BC" w:rsidRPr="00CB4B9A" w14:paraId="2835DA5E" w14:textId="77777777" w:rsidTr="00FC13BC">
        <w:trPr>
          <w:trHeight w:val="98"/>
          <w:tblCellSpacing w:w="0" w:type="dxa"/>
        </w:trPr>
        <w:tc>
          <w:tcPr>
            <w:tcW w:w="1016" w:type="pct"/>
            <w:tcBorders>
              <w:top w:val="single" w:sz="6" w:space="0" w:color="EEEEEE"/>
              <w:left w:val="single" w:sz="6" w:space="0" w:color="EEEEEE"/>
              <w:bottom w:val="single" w:sz="6" w:space="0" w:color="EEEEEE"/>
              <w:right w:val="single" w:sz="6" w:space="0" w:color="EEEEEE"/>
            </w:tcBorders>
            <w:vAlign w:val="bottom"/>
            <w:hideMark/>
          </w:tcPr>
          <w:p w14:paraId="5A1D479A" w14:textId="77777777" w:rsidR="00FC13BC" w:rsidRPr="00406C9F" w:rsidRDefault="00FC13BC" w:rsidP="00FC13BC">
            <w:pPr>
              <w:spacing w:after="0" w:line="240" w:lineRule="auto"/>
              <w:rPr>
                <w:rFonts w:eastAsia="Times New Roman" w:cs="Arial"/>
                <w:sz w:val="16"/>
                <w:szCs w:val="16"/>
              </w:rPr>
            </w:pPr>
            <w:r w:rsidRPr="00406C9F">
              <w:rPr>
                <w:rFonts w:eastAsia="Times New Roman" w:cs="Arial"/>
                <w:color w:val="000000"/>
                <w:sz w:val="16"/>
                <w:szCs w:val="16"/>
              </w:rPr>
              <w:t>Attributes</w:t>
            </w:r>
          </w:p>
        </w:tc>
        <w:tc>
          <w:tcPr>
            <w:tcW w:w="817" w:type="pct"/>
            <w:tcBorders>
              <w:top w:val="single" w:sz="6" w:space="0" w:color="EEEEEE"/>
              <w:left w:val="single" w:sz="6" w:space="0" w:color="EEEEEE"/>
              <w:bottom w:val="single" w:sz="6" w:space="0" w:color="EEEEEE"/>
              <w:right w:val="single" w:sz="6" w:space="0" w:color="EEEEEE"/>
            </w:tcBorders>
            <w:vAlign w:val="bottom"/>
          </w:tcPr>
          <w:p w14:paraId="3050B890" w14:textId="77777777" w:rsidR="00FC13BC" w:rsidRPr="00406C9F" w:rsidRDefault="00FC13BC" w:rsidP="00FC13BC">
            <w:pPr>
              <w:spacing w:after="0" w:line="240" w:lineRule="auto"/>
              <w:jc w:val="center"/>
              <w:rPr>
                <w:rFonts w:eastAsia="Times New Roman" w:cs="Arial"/>
                <w:b/>
                <w:sz w:val="16"/>
                <w:szCs w:val="16"/>
              </w:rPr>
            </w:pPr>
            <w:r w:rsidRPr="00CB4B9A">
              <w:rPr>
                <w:rFonts w:cs="Arial"/>
                <w:color w:val="000000"/>
                <w:sz w:val="16"/>
                <w:szCs w:val="16"/>
              </w:rPr>
              <w:t>100 %</w:t>
            </w:r>
          </w:p>
        </w:tc>
        <w:tc>
          <w:tcPr>
            <w:tcW w:w="732" w:type="pct"/>
            <w:tcBorders>
              <w:top w:val="single" w:sz="6" w:space="0" w:color="EEEEEE"/>
              <w:left w:val="single" w:sz="6" w:space="0" w:color="EEEEEE"/>
              <w:bottom w:val="single" w:sz="6" w:space="0" w:color="EEEEEE"/>
              <w:right w:val="single" w:sz="6" w:space="0" w:color="EEEEEE"/>
            </w:tcBorders>
            <w:vAlign w:val="bottom"/>
          </w:tcPr>
          <w:p w14:paraId="23C52915" w14:textId="77777777" w:rsidR="00FC13BC" w:rsidRPr="00406C9F" w:rsidRDefault="00FC13BC" w:rsidP="00FC13BC">
            <w:pPr>
              <w:spacing w:after="0" w:line="240" w:lineRule="auto"/>
              <w:jc w:val="center"/>
              <w:rPr>
                <w:rFonts w:eastAsia="Times New Roman" w:cs="Arial"/>
                <w:b/>
                <w:sz w:val="16"/>
                <w:szCs w:val="16"/>
              </w:rPr>
            </w:pPr>
            <w:r w:rsidRPr="00CB4B9A">
              <w:rPr>
                <w:rFonts w:cs="Arial"/>
                <w:color w:val="000000"/>
                <w:sz w:val="16"/>
                <w:szCs w:val="16"/>
              </w:rPr>
              <w:t>100 %</w:t>
            </w:r>
          </w:p>
        </w:tc>
        <w:tc>
          <w:tcPr>
            <w:tcW w:w="772" w:type="pct"/>
            <w:tcBorders>
              <w:top w:val="single" w:sz="6" w:space="0" w:color="EEEEEE"/>
              <w:left w:val="single" w:sz="6" w:space="0" w:color="EEEEEE"/>
              <w:bottom w:val="single" w:sz="6" w:space="0" w:color="EEEEEE"/>
              <w:right w:val="single" w:sz="6" w:space="0" w:color="EEEEEE"/>
            </w:tcBorders>
            <w:vAlign w:val="bottom"/>
          </w:tcPr>
          <w:p w14:paraId="5DC5CA04" w14:textId="77777777" w:rsidR="00FC13BC" w:rsidRPr="00406C9F" w:rsidRDefault="00FC13BC" w:rsidP="00FC13BC">
            <w:pPr>
              <w:spacing w:after="0" w:line="240" w:lineRule="auto"/>
              <w:jc w:val="center"/>
              <w:rPr>
                <w:rFonts w:eastAsia="Times New Roman" w:cs="Arial"/>
                <w:b/>
                <w:sz w:val="16"/>
                <w:szCs w:val="16"/>
              </w:rPr>
            </w:pPr>
            <w:r w:rsidRPr="00CB4B9A">
              <w:rPr>
                <w:rFonts w:cs="Arial"/>
                <w:color w:val="000000"/>
                <w:sz w:val="16"/>
                <w:szCs w:val="16"/>
              </w:rPr>
              <w:t>6</w:t>
            </w:r>
          </w:p>
        </w:tc>
        <w:tc>
          <w:tcPr>
            <w:tcW w:w="931" w:type="pct"/>
            <w:tcBorders>
              <w:top w:val="single" w:sz="6" w:space="0" w:color="EEEEEE"/>
              <w:left w:val="single" w:sz="6" w:space="0" w:color="EEEEEE"/>
              <w:bottom w:val="single" w:sz="6" w:space="0" w:color="EEEEEE"/>
              <w:right w:val="single" w:sz="6" w:space="0" w:color="EEEEEE"/>
            </w:tcBorders>
            <w:vAlign w:val="bottom"/>
          </w:tcPr>
          <w:p w14:paraId="07E3EEEC" w14:textId="77777777" w:rsidR="00FC13BC" w:rsidRPr="00406C9F" w:rsidRDefault="00FC13BC" w:rsidP="00FC13BC">
            <w:pPr>
              <w:spacing w:after="0" w:line="240" w:lineRule="auto"/>
              <w:jc w:val="center"/>
              <w:rPr>
                <w:rFonts w:eastAsia="Times New Roman" w:cs="Arial"/>
                <w:b/>
                <w:sz w:val="16"/>
                <w:szCs w:val="16"/>
              </w:rPr>
            </w:pPr>
            <w:r w:rsidRPr="00CB4B9A">
              <w:rPr>
                <w:rFonts w:cs="Arial"/>
                <w:color w:val="000000"/>
                <w:sz w:val="16"/>
                <w:szCs w:val="16"/>
              </w:rPr>
              <w:t>0</w:t>
            </w:r>
          </w:p>
        </w:tc>
        <w:tc>
          <w:tcPr>
            <w:tcW w:w="732" w:type="pct"/>
            <w:tcBorders>
              <w:top w:val="single" w:sz="6" w:space="0" w:color="EEEEEE"/>
              <w:left w:val="single" w:sz="6" w:space="0" w:color="EEEEEE"/>
              <w:bottom w:val="single" w:sz="6" w:space="0" w:color="EEEEEE"/>
              <w:right w:val="single" w:sz="6" w:space="0" w:color="EEEEEE"/>
            </w:tcBorders>
            <w:vAlign w:val="bottom"/>
          </w:tcPr>
          <w:p w14:paraId="4E5183B0" w14:textId="77777777" w:rsidR="00FC13BC" w:rsidRPr="00406C9F" w:rsidRDefault="00FC13BC" w:rsidP="00FC13BC">
            <w:pPr>
              <w:spacing w:after="0" w:line="240" w:lineRule="auto"/>
              <w:jc w:val="center"/>
              <w:rPr>
                <w:rFonts w:eastAsia="Times New Roman" w:cs="Arial"/>
                <w:b/>
                <w:sz w:val="16"/>
                <w:szCs w:val="16"/>
              </w:rPr>
            </w:pPr>
            <w:r w:rsidRPr="00CB4B9A">
              <w:rPr>
                <w:rFonts w:cs="Arial"/>
                <w:color w:val="000000"/>
                <w:sz w:val="16"/>
                <w:szCs w:val="16"/>
              </w:rPr>
              <w:t>0</w:t>
            </w:r>
          </w:p>
        </w:tc>
      </w:tr>
      <w:tr w:rsidR="00FC13BC" w:rsidRPr="00CB4B9A" w14:paraId="0C1E2CE4" w14:textId="77777777" w:rsidTr="00FC13BC">
        <w:trPr>
          <w:trHeight w:val="98"/>
          <w:tblCellSpacing w:w="0" w:type="dxa"/>
        </w:trPr>
        <w:tc>
          <w:tcPr>
            <w:tcW w:w="1016" w:type="pct"/>
            <w:tcBorders>
              <w:top w:val="single" w:sz="6" w:space="0" w:color="EEEEEE"/>
              <w:left w:val="single" w:sz="6" w:space="0" w:color="EEEEEE"/>
              <w:bottom w:val="single" w:sz="6" w:space="0" w:color="EEEEEE"/>
              <w:right w:val="single" w:sz="6" w:space="0" w:color="EEEEEE"/>
            </w:tcBorders>
            <w:vAlign w:val="bottom"/>
            <w:hideMark/>
          </w:tcPr>
          <w:p w14:paraId="35072369" w14:textId="77777777" w:rsidR="00FC13BC" w:rsidRPr="00406C9F" w:rsidRDefault="00FC13BC" w:rsidP="00FC13BC">
            <w:pPr>
              <w:spacing w:after="0" w:line="240" w:lineRule="auto"/>
              <w:rPr>
                <w:rFonts w:eastAsia="Times New Roman" w:cs="Arial"/>
                <w:sz w:val="16"/>
                <w:szCs w:val="16"/>
              </w:rPr>
            </w:pPr>
            <w:r w:rsidRPr="00406C9F">
              <w:rPr>
                <w:rFonts w:eastAsia="Times New Roman" w:cs="Arial"/>
                <w:color w:val="000000"/>
                <w:sz w:val="16"/>
                <w:szCs w:val="16"/>
              </w:rPr>
              <w:t>Requirements</w:t>
            </w:r>
          </w:p>
        </w:tc>
        <w:tc>
          <w:tcPr>
            <w:tcW w:w="817" w:type="pct"/>
            <w:tcBorders>
              <w:top w:val="single" w:sz="6" w:space="0" w:color="EEEEEE"/>
              <w:left w:val="single" w:sz="6" w:space="0" w:color="EEEEEE"/>
              <w:bottom w:val="single" w:sz="6" w:space="0" w:color="EEEEEE"/>
              <w:right w:val="single" w:sz="6" w:space="0" w:color="EEEEEE"/>
            </w:tcBorders>
            <w:vAlign w:val="bottom"/>
          </w:tcPr>
          <w:p w14:paraId="6DE6561F" w14:textId="77777777" w:rsidR="00FC13BC" w:rsidRPr="00406C9F" w:rsidRDefault="00FC13BC" w:rsidP="00FC13BC">
            <w:pPr>
              <w:spacing w:after="0" w:line="240" w:lineRule="auto"/>
              <w:jc w:val="center"/>
              <w:rPr>
                <w:rFonts w:eastAsia="Times New Roman" w:cs="Arial"/>
                <w:b/>
                <w:sz w:val="16"/>
                <w:szCs w:val="16"/>
              </w:rPr>
            </w:pPr>
            <w:r>
              <w:rPr>
                <w:rFonts w:cs="Arial"/>
                <w:color w:val="000000"/>
                <w:sz w:val="16"/>
                <w:szCs w:val="16"/>
              </w:rPr>
              <w:t>100</w:t>
            </w:r>
            <w:r w:rsidRPr="00CB4B9A">
              <w:rPr>
                <w:rFonts w:cs="Arial"/>
                <w:color w:val="000000"/>
                <w:sz w:val="16"/>
                <w:szCs w:val="16"/>
              </w:rPr>
              <w:t> %</w:t>
            </w:r>
          </w:p>
        </w:tc>
        <w:tc>
          <w:tcPr>
            <w:tcW w:w="732" w:type="pct"/>
            <w:tcBorders>
              <w:top w:val="single" w:sz="6" w:space="0" w:color="EEEEEE"/>
              <w:left w:val="single" w:sz="6" w:space="0" w:color="EEEEEE"/>
              <w:bottom w:val="single" w:sz="6" w:space="0" w:color="EEEEEE"/>
              <w:right w:val="single" w:sz="6" w:space="0" w:color="EEEEEE"/>
            </w:tcBorders>
            <w:vAlign w:val="bottom"/>
          </w:tcPr>
          <w:p w14:paraId="3882E171" w14:textId="77777777" w:rsidR="00FC13BC" w:rsidRPr="00406C9F" w:rsidRDefault="00FC13BC" w:rsidP="00FC13BC">
            <w:pPr>
              <w:spacing w:after="0" w:line="240" w:lineRule="auto"/>
              <w:jc w:val="center"/>
              <w:rPr>
                <w:rFonts w:eastAsia="Times New Roman" w:cs="Arial"/>
                <w:b/>
                <w:sz w:val="16"/>
                <w:szCs w:val="16"/>
              </w:rPr>
            </w:pPr>
            <w:r w:rsidRPr="00CB4B9A">
              <w:rPr>
                <w:rFonts w:cs="Arial"/>
                <w:color w:val="000000"/>
                <w:sz w:val="16"/>
                <w:szCs w:val="16"/>
              </w:rPr>
              <w:t>100 %</w:t>
            </w:r>
          </w:p>
        </w:tc>
        <w:tc>
          <w:tcPr>
            <w:tcW w:w="772" w:type="pct"/>
            <w:tcBorders>
              <w:top w:val="single" w:sz="6" w:space="0" w:color="EEEEEE"/>
              <w:left w:val="single" w:sz="6" w:space="0" w:color="EEEEEE"/>
              <w:bottom w:val="single" w:sz="6" w:space="0" w:color="EEEEEE"/>
              <w:right w:val="single" w:sz="6" w:space="0" w:color="EEEEEE"/>
            </w:tcBorders>
            <w:vAlign w:val="bottom"/>
          </w:tcPr>
          <w:p w14:paraId="100F8166" w14:textId="77777777" w:rsidR="00FC13BC" w:rsidRPr="00406C9F" w:rsidRDefault="00FC13BC" w:rsidP="00FC13BC">
            <w:pPr>
              <w:spacing w:after="0" w:line="240" w:lineRule="auto"/>
              <w:jc w:val="center"/>
              <w:rPr>
                <w:rFonts w:eastAsia="Times New Roman" w:cs="Arial"/>
                <w:b/>
                <w:sz w:val="16"/>
                <w:szCs w:val="16"/>
              </w:rPr>
            </w:pPr>
            <w:r>
              <w:rPr>
                <w:rFonts w:cs="Arial"/>
                <w:color w:val="000000"/>
                <w:sz w:val="16"/>
                <w:szCs w:val="16"/>
              </w:rPr>
              <w:t>9</w:t>
            </w:r>
          </w:p>
        </w:tc>
        <w:tc>
          <w:tcPr>
            <w:tcW w:w="931" w:type="pct"/>
            <w:tcBorders>
              <w:top w:val="single" w:sz="6" w:space="0" w:color="EEEEEE"/>
              <w:left w:val="single" w:sz="6" w:space="0" w:color="EEEEEE"/>
              <w:bottom w:val="single" w:sz="6" w:space="0" w:color="EEEEEE"/>
              <w:right w:val="single" w:sz="6" w:space="0" w:color="EEEEEE"/>
            </w:tcBorders>
            <w:vAlign w:val="bottom"/>
          </w:tcPr>
          <w:p w14:paraId="3DE3D543" w14:textId="77777777" w:rsidR="00FC13BC" w:rsidRPr="00406C9F" w:rsidRDefault="00FC13BC" w:rsidP="00FC13BC">
            <w:pPr>
              <w:spacing w:after="0" w:line="240" w:lineRule="auto"/>
              <w:jc w:val="center"/>
              <w:rPr>
                <w:rFonts w:eastAsia="Times New Roman" w:cs="Arial"/>
                <w:b/>
                <w:sz w:val="16"/>
                <w:szCs w:val="16"/>
              </w:rPr>
            </w:pPr>
            <w:r>
              <w:rPr>
                <w:rFonts w:cs="Arial"/>
                <w:color w:val="000000"/>
                <w:sz w:val="16"/>
                <w:szCs w:val="16"/>
              </w:rPr>
              <w:t>0</w:t>
            </w:r>
          </w:p>
        </w:tc>
        <w:tc>
          <w:tcPr>
            <w:tcW w:w="732" w:type="pct"/>
            <w:tcBorders>
              <w:top w:val="single" w:sz="6" w:space="0" w:color="EEEEEE"/>
              <w:left w:val="single" w:sz="6" w:space="0" w:color="EEEEEE"/>
              <w:bottom w:val="single" w:sz="6" w:space="0" w:color="EEEEEE"/>
              <w:right w:val="single" w:sz="6" w:space="0" w:color="EEEEEE"/>
            </w:tcBorders>
            <w:vAlign w:val="bottom"/>
          </w:tcPr>
          <w:p w14:paraId="68792F73" w14:textId="77777777" w:rsidR="00FC13BC" w:rsidRPr="00406C9F" w:rsidRDefault="00FC13BC" w:rsidP="00FC13BC">
            <w:pPr>
              <w:spacing w:after="0" w:line="240" w:lineRule="auto"/>
              <w:jc w:val="center"/>
              <w:rPr>
                <w:rFonts w:eastAsia="Times New Roman" w:cs="Arial"/>
                <w:b/>
                <w:sz w:val="16"/>
                <w:szCs w:val="16"/>
              </w:rPr>
            </w:pPr>
            <w:r w:rsidRPr="00CB4B9A">
              <w:rPr>
                <w:rFonts w:cs="Arial"/>
                <w:color w:val="000000"/>
                <w:sz w:val="16"/>
                <w:szCs w:val="16"/>
              </w:rPr>
              <w:t>0</w:t>
            </w:r>
          </w:p>
        </w:tc>
      </w:tr>
      <w:tr w:rsidR="00FC13BC" w:rsidRPr="00CB4B9A" w14:paraId="07B173BA" w14:textId="77777777" w:rsidTr="00FC13BC">
        <w:trPr>
          <w:trHeight w:val="98"/>
          <w:tblCellSpacing w:w="0" w:type="dxa"/>
        </w:trPr>
        <w:tc>
          <w:tcPr>
            <w:tcW w:w="1016" w:type="pct"/>
            <w:tcBorders>
              <w:top w:val="single" w:sz="6" w:space="0" w:color="EEEEEE"/>
              <w:left w:val="single" w:sz="6" w:space="0" w:color="EEEEEE"/>
              <w:bottom w:val="single" w:sz="6" w:space="0" w:color="EEEEEE"/>
              <w:right w:val="single" w:sz="6" w:space="0" w:color="EEEEEE"/>
            </w:tcBorders>
            <w:vAlign w:val="bottom"/>
          </w:tcPr>
          <w:p w14:paraId="7CACDFB2" w14:textId="77777777" w:rsidR="00FC13BC" w:rsidRPr="00CB4B9A" w:rsidRDefault="00FC13BC" w:rsidP="00FC13BC">
            <w:pPr>
              <w:spacing w:after="0" w:line="240" w:lineRule="auto"/>
              <w:rPr>
                <w:rFonts w:eastAsia="Times New Roman" w:cs="Arial"/>
                <w:b/>
                <w:color w:val="000000"/>
                <w:sz w:val="16"/>
                <w:szCs w:val="16"/>
              </w:rPr>
            </w:pPr>
            <w:r w:rsidRPr="00CB4B9A">
              <w:rPr>
                <w:rFonts w:cs="Arial"/>
                <w:b/>
                <w:color w:val="000000"/>
                <w:sz w:val="16"/>
                <w:szCs w:val="16"/>
              </w:rPr>
              <w:t xml:space="preserve">Overall </w:t>
            </w:r>
            <w:r>
              <w:rPr>
                <w:rFonts w:cs="Arial"/>
                <w:b/>
                <w:color w:val="000000"/>
                <w:sz w:val="16"/>
                <w:szCs w:val="16"/>
              </w:rPr>
              <w:t>S</w:t>
            </w:r>
            <w:r w:rsidRPr="00CB4B9A">
              <w:rPr>
                <w:rFonts w:cs="Arial"/>
                <w:b/>
                <w:color w:val="000000"/>
                <w:sz w:val="16"/>
                <w:szCs w:val="16"/>
              </w:rPr>
              <w:t>core:</w:t>
            </w:r>
          </w:p>
        </w:tc>
        <w:tc>
          <w:tcPr>
            <w:tcW w:w="817" w:type="pct"/>
            <w:tcBorders>
              <w:top w:val="single" w:sz="6" w:space="0" w:color="EEEEEE"/>
              <w:left w:val="single" w:sz="6" w:space="0" w:color="EEEEEE"/>
              <w:bottom w:val="single" w:sz="6" w:space="0" w:color="EEEEEE"/>
              <w:right w:val="single" w:sz="6" w:space="0" w:color="EEEEEE"/>
            </w:tcBorders>
            <w:vAlign w:val="bottom"/>
          </w:tcPr>
          <w:p w14:paraId="0F0EAAB3" w14:textId="77777777" w:rsidR="00FC13BC" w:rsidRPr="00CB4B9A" w:rsidRDefault="00FC13BC" w:rsidP="00FC13BC">
            <w:pPr>
              <w:spacing w:after="0" w:line="240" w:lineRule="auto"/>
              <w:jc w:val="center"/>
              <w:rPr>
                <w:rFonts w:eastAsia="Times New Roman" w:cs="Arial"/>
                <w:b/>
                <w:sz w:val="16"/>
                <w:szCs w:val="16"/>
              </w:rPr>
            </w:pPr>
            <w:r>
              <w:rPr>
                <w:rFonts w:cs="Arial"/>
                <w:b/>
                <w:color w:val="000000"/>
                <w:sz w:val="16"/>
                <w:szCs w:val="16"/>
              </w:rPr>
              <w:t>100</w:t>
            </w:r>
            <w:r w:rsidRPr="00CB4B9A">
              <w:rPr>
                <w:rFonts w:cs="Arial"/>
                <w:b/>
                <w:color w:val="000000"/>
                <w:sz w:val="16"/>
                <w:szCs w:val="16"/>
              </w:rPr>
              <w:t>%</w:t>
            </w:r>
          </w:p>
        </w:tc>
        <w:tc>
          <w:tcPr>
            <w:tcW w:w="732" w:type="pct"/>
            <w:tcBorders>
              <w:top w:val="single" w:sz="6" w:space="0" w:color="EEEEEE"/>
              <w:left w:val="single" w:sz="6" w:space="0" w:color="EEEEEE"/>
              <w:bottom w:val="single" w:sz="6" w:space="0" w:color="EEEEEE"/>
              <w:right w:val="single" w:sz="6" w:space="0" w:color="EEEEEE"/>
            </w:tcBorders>
            <w:vAlign w:val="bottom"/>
          </w:tcPr>
          <w:p w14:paraId="40B75265" w14:textId="77777777" w:rsidR="00FC13BC" w:rsidRPr="00CB4B9A" w:rsidRDefault="00FC13BC" w:rsidP="00FC13BC">
            <w:pPr>
              <w:spacing w:after="0" w:line="240" w:lineRule="auto"/>
              <w:jc w:val="center"/>
              <w:rPr>
                <w:rFonts w:cs="Arial"/>
                <w:b/>
                <w:color w:val="000000"/>
                <w:sz w:val="16"/>
                <w:szCs w:val="16"/>
              </w:rPr>
            </w:pPr>
            <w:r w:rsidRPr="00CB4B9A">
              <w:rPr>
                <w:rFonts w:cs="Arial"/>
                <w:b/>
                <w:color w:val="000000"/>
                <w:sz w:val="16"/>
                <w:szCs w:val="16"/>
              </w:rPr>
              <w:t>100 %</w:t>
            </w:r>
          </w:p>
        </w:tc>
        <w:tc>
          <w:tcPr>
            <w:tcW w:w="772" w:type="pct"/>
            <w:tcBorders>
              <w:top w:val="single" w:sz="6" w:space="0" w:color="EEEEEE"/>
              <w:left w:val="single" w:sz="6" w:space="0" w:color="EEEEEE"/>
              <w:bottom w:val="single" w:sz="6" w:space="0" w:color="EEEEEE"/>
              <w:right w:val="single" w:sz="6" w:space="0" w:color="EEEEEE"/>
            </w:tcBorders>
            <w:vAlign w:val="bottom"/>
          </w:tcPr>
          <w:p w14:paraId="53E0BD77" w14:textId="77777777" w:rsidR="00FC13BC" w:rsidRPr="00CB4B9A" w:rsidRDefault="00FC13BC" w:rsidP="00FC13BC">
            <w:pPr>
              <w:spacing w:after="0" w:line="240" w:lineRule="auto"/>
              <w:jc w:val="center"/>
              <w:rPr>
                <w:rFonts w:cs="Arial"/>
                <w:b/>
                <w:color w:val="000000"/>
                <w:sz w:val="16"/>
                <w:szCs w:val="16"/>
              </w:rPr>
            </w:pPr>
            <w:r>
              <w:rPr>
                <w:rFonts w:cs="Arial"/>
                <w:b/>
                <w:color w:val="000000"/>
                <w:sz w:val="16"/>
                <w:szCs w:val="16"/>
              </w:rPr>
              <w:t>21</w:t>
            </w:r>
          </w:p>
        </w:tc>
        <w:tc>
          <w:tcPr>
            <w:tcW w:w="931" w:type="pct"/>
            <w:tcBorders>
              <w:top w:val="single" w:sz="6" w:space="0" w:color="EEEEEE"/>
              <w:left w:val="single" w:sz="6" w:space="0" w:color="EEEEEE"/>
              <w:bottom w:val="single" w:sz="6" w:space="0" w:color="EEEEEE"/>
              <w:right w:val="single" w:sz="6" w:space="0" w:color="EEEEEE"/>
            </w:tcBorders>
            <w:vAlign w:val="bottom"/>
          </w:tcPr>
          <w:p w14:paraId="6FD150B9" w14:textId="77777777" w:rsidR="00FC13BC" w:rsidRPr="00CB4B9A" w:rsidRDefault="00FC13BC" w:rsidP="00FC13BC">
            <w:pPr>
              <w:spacing w:after="0" w:line="240" w:lineRule="auto"/>
              <w:jc w:val="center"/>
              <w:rPr>
                <w:rFonts w:cs="Arial"/>
                <w:b/>
                <w:color w:val="000000"/>
                <w:sz w:val="16"/>
                <w:szCs w:val="16"/>
              </w:rPr>
            </w:pPr>
            <w:r>
              <w:rPr>
                <w:rFonts w:cs="Arial"/>
                <w:b/>
                <w:color w:val="000000"/>
                <w:sz w:val="16"/>
                <w:szCs w:val="16"/>
              </w:rPr>
              <w:t>0</w:t>
            </w:r>
          </w:p>
        </w:tc>
        <w:tc>
          <w:tcPr>
            <w:tcW w:w="732" w:type="pct"/>
            <w:tcBorders>
              <w:top w:val="single" w:sz="6" w:space="0" w:color="EEEEEE"/>
              <w:left w:val="single" w:sz="6" w:space="0" w:color="EEEEEE"/>
              <w:bottom w:val="single" w:sz="6" w:space="0" w:color="EEEEEE"/>
              <w:right w:val="single" w:sz="6" w:space="0" w:color="EEEEEE"/>
            </w:tcBorders>
            <w:vAlign w:val="bottom"/>
          </w:tcPr>
          <w:p w14:paraId="4C12C8E2" w14:textId="77777777" w:rsidR="00FC13BC" w:rsidRPr="00CB4B9A" w:rsidRDefault="00FC13BC" w:rsidP="00FC13BC">
            <w:pPr>
              <w:spacing w:after="0" w:line="240" w:lineRule="auto"/>
              <w:jc w:val="center"/>
              <w:rPr>
                <w:rFonts w:cs="Arial"/>
                <w:b/>
                <w:color w:val="000000"/>
                <w:sz w:val="16"/>
                <w:szCs w:val="16"/>
              </w:rPr>
            </w:pPr>
            <w:r w:rsidRPr="00CB4B9A">
              <w:rPr>
                <w:rFonts w:cs="Arial"/>
                <w:b/>
                <w:color w:val="000000"/>
                <w:sz w:val="16"/>
                <w:szCs w:val="16"/>
              </w:rPr>
              <w:t>0</w:t>
            </w:r>
          </w:p>
        </w:tc>
      </w:tr>
    </w:tbl>
    <w:p w14:paraId="506BF172" w14:textId="78FAB0B2" w:rsidR="005F7DE0" w:rsidRPr="00FC13BC" w:rsidRDefault="005F7DE0" w:rsidP="005F7DE0">
      <w:pPr>
        <w:rPr>
          <w:rFonts w:cs="Arial"/>
          <w:szCs w:val="20"/>
        </w:rPr>
      </w:pPr>
      <w:r>
        <w:rPr>
          <w:rFonts w:cs="Arial"/>
          <w:szCs w:val="20"/>
        </w:rPr>
        <w:t xml:space="preserve">This section presents an overview of the results of the CAMSS assessments for </w:t>
      </w:r>
      <w:r w:rsidR="004A1C9A">
        <w:rPr>
          <w:rFonts w:cs="Arial"/>
          <w:szCs w:val="20"/>
        </w:rPr>
        <w:t>OAuth</w:t>
      </w:r>
      <w:r w:rsidR="004D48FD">
        <w:rPr>
          <w:rFonts w:cs="Arial"/>
          <w:szCs w:val="20"/>
        </w:rPr>
        <w:t xml:space="preserve"> 2.0</w:t>
      </w:r>
      <w:r>
        <w:rPr>
          <w:rFonts w:cs="Arial"/>
          <w:szCs w:val="20"/>
        </w:rPr>
        <w:t xml:space="preserve">. The CAMSS “Strength” indicator measures the reliability of the assessment by calculating the number of </w:t>
      </w:r>
      <w:r w:rsidR="00647771">
        <w:rPr>
          <w:rFonts w:cs="Arial"/>
          <w:szCs w:val="20"/>
        </w:rPr>
        <w:t>answered (</w:t>
      </w:r>
      <w:r>
        <w:rPr>
          <w:rFonts w:cs="Arial"/>
          <w:szCs w:val="20"/>
        </w:rPr>
        <w:t>applicable</w:t>
      </w:r>
      <w:r w:rsidR="00647771">
        <w:rPr>
          <w:rFonts w:cs="Arial"/>
          <w:szCs w:val="20"/>
        </w:rPr>
        <w:t>)</w:t>
      </w:r>
      <w:r>
        <w:rPr>
          <w:rFonts w:cs="Arial"/>
          <w:szCs w:val="20"/>
        </w:rPr>
        <w:t xml:space="preserve"> criteria. On the other hand, the number of favourable answers and the number of unfavourable ones are used to calculate the “Automated Score” per categor</w:t>
      </w:r>
      <w:r w:rsidR="00647771">
        <w:rPr>
          <w:rFonts w:cs="Arial"/>
          <w:szCs w:val="20"/>
        </w:rPr>
        <w:t>y</w:t>
      </w:r>
      <w:r>
        <w:rPr>
          <w:rFonts w:cs="Arial"/>
          <w:szCs w:val="20"/>
        </w:rPr>
        <w:t xml:space="preserve"> and an “Overall Score”.</w:t>
      </w:r>
    </w:p>
    <w:p w14:paraId="361CF188" w14:textId="77777777" w:rsidR="00FC13BC" w:rsidRDefault="00FC13BC" w:rsidP="005F7DE0"/>
    <w:p w14:paraId="0E39D097" w14:textId="0FA9DDE4" w:rsidR="00091236" w:rsidRDefault="00C00D7A" w:rsidP="00292B54">
      <w:r>
        <w:t xml:space="preserve">The results of the CAMSS assessment, with a 100% CAMSS Strength, can be considered as truly representative of the specification attributes. Furthermore, a 100% Automated Score demonstrates that the technical specification is fully compliant with the CAMSS MSP scenario assessment criteria and therefore </w:t>
      </w:r>
      <w:r w:rsidRPr="00573248">
        <w:t>with standardisation regulation Annex II</w:t>
      </w:r>
      <w:r>
        <w:t xml:space="preserve">. The Overall Score is 100%, so it </w:t>
      </w:r>
      <w:r w:rsidR="00F62B00">
        <w:t>reflects</w:t>
      </w:r>
      <w:r>
        <w:t xml:space="preserve"> that OAuth 2.0 fully meets the criteria regarding Market Acceptance, Coherence, Attributes and Requirements.</w:t>
      </w:r>
    </w:p>
    <w:p w14:paraId="18CB1A39" w14:textId="6C0725F2" w:rsidR="002612E8" w:rsidRDefault="002612E8" w:rsidP="002612E8">
      <w:pPr>
        <w:jc w:val="center"/>
      </w:pPr>
      <w:r>
        <w:rPr>
          <w:noProof/>
          <w:lang w:val="nl-NL" w:eastAsia="nl-NL"/>
        </w:rPr>
        <w:drawing>
          <wp:inline distT="0" distB="0" distL="0" distR="0" wp14:anchorId="6947ABF9" wp14:editId="35C33735">
            <wp:extent cx="4288155" cy="1868805"/>
            <wp:effectExtent l="0" t="0" r="17145"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6931F21" w14:textId="651E0CE1" w:rsidR="00AA2BF3" w:rsidRDefault="005F7DE0" w:rsidP="00AA2BF3">
      <w:pPr>
        <w:rPr>
          <w:rFonts w:cs="Arial"/>
          <w:b/>
          <w:szCs w:val="20"/>
        </w:rPr>
      </w:pPr>
      <w:r w:rsidRPr="00DE0BEC">
        <w:rPr>
          <w:rFonts w:cs="Arial"/>
          <w:b/>
          <w:szCs w:val="20"/>
        </w:rPr>
        <w:t xml:space="preserve">IV. Assessment Observations </w:t>
      </w:r>
    </w:p>
    <w:p w14:paraId="5B4F36A9" w14:textId="28891B5B" w:rsidR="003942EF" w:rsidRDefault="00177C7B" w:rsidP="003942EF">
      <w:r>
        <w:t xml:space="preserve">During our assessment, the observation has been made that </w:t>
      </w:r>
      <w:r w:rsidR="004A1C9A">
        <w:t>OAuth</w:t>
      </w:r>
      <w:r>
        <w:t xml:space="preserve"> 2.0</w:t>
      </w:r>
      <w:r w:rsidR="00BE3243">
        <w:t xml:space="preserve"> has been </w:t>
      </w:r>
      <w:r w:rsidR="00647771">
        <w:t xml:space="preserve">particularly </w:t>
      </w:r>
      <w:r>
        <w:t xml:space="preserve">criticized due to the huge difference with </w:t>
      </w:r>
      <w:r w:rsidR="0090563A">
        <w:t>its</w:t>
      </w:r>
      <w:r>
        <w:t xml:space="preserve"> first version. </w:t>
      </w:r>
      <w:r w:rsidR="004A1C9A">
        <w:t>OAuth</w:t>
      </w:r>
      <w:r w:rsidR="00BE3243">
        <w:t xml:space="preserve"> 2.0 is less secure and more complex than its</w:t>
      </w:r>
      <w:r>
        <w:t xml:space="preserve"> predecessor </w:t>
      </w:r>
      <w:r w:rsidR="004A1C9A">
        <w:t>OAuth</w:t>
      </w:r>
      <w:r w:rsidR="00BE3243">
        <w:t xml:space="preserve"> 1.0</w:t>
      </w:r>
      <w:r w:rsidR="00647771">
        <w:t xml:space="preserve">. This is because </w:t>
      </w:r>
      <w:r w:rsidR="00BE3243">
        <w:t>version 2.0 creators</w:t>
      </w:r>
      <w:r w:rsidR="0090563A">
        <w:t xml:space="preserve"> </w:t>
      </w:r>
      <w:r w:rsidR="00BE3243">
        <w:t xml:space="preserve">deliberately focused on making the technical </w:t>
      </w:r>
      <w:r>
        <w:t>specification</w:t>
      </w:r>
      <w:r w:rsidR="00BE3243">
        <w:t xml:space="preserve"> </w:t>
      </w:r>
      <w:r w:rsidR="005D6993">
        <w:t xml:space="preserve">more </w:t>
      </w:r>
      <w:r w:rsidR="00BE3243">
        <w:t xml:space="preserve">flexible between sites and devices. The changes are so significant that </w:t>
      </w:r>
      <w:r w:rsidR="004A1C9A">
        <w:t>OAuth</w:t>
      </w:r>
      <w:r w:rsidR="00BE3243">
        <w:t xml:space="preserve"> 2.</w:t>
      </w:r>
      <w:r w:rsidR="00001D05">
        <w:t xml:space="preserve">0 is not backward compatible. </w:t>
      </w:r>
    </w:p>
    <w:p w14:paraId="207574E5" w14:textId="33A8DAC7" w:rsidR="00001D05" w:rsidRDefault="003942EF" w:rsidP="00986E1D">
      <w:r>
        <w:t xml:space="preserve">Due </w:t>
      </w:r>
      <w:r w:rsidRPr="00001D05">
        <w:t xml:space="preserve">to </w:t>
      </w:r>
      <w:r>
        <w:t>the</w:t>
      </w:r>
      <w:r w:rsidR="005D6993">
        <w:t xml:space="preserve"> aforementioned</w:t>
      </w:r>
      <w:r>
        <w:t xml:space="preserve"> intention to make</w:t>
      </w:r>
      <w:r w:rsidRPr="00001D05">
        <w:t xml:space="preserve"> </w:t>
      </w:r>
      <w:r w:rsidR="004A1C9A">
        <w:t>OAuth</w:t>
      </w:r>
      <w:r w:rsidRPr="00001D05">
        <w:t xml:space="preserve"> 2.0 a rich and highly extensible framework with many optional components, an </w:t>
      </w:r>
      <w:r w:rsidR="004A1C9A">
        <w:t>OAuth</w:t>
      </w:r>
      <w:r w:rsidR="005D6993">
        <w:t xml:space="preserve"> 2.0</w:t>
      </w:r>
      <w:r w:rsidRPr="00001D05">
        <w:t xml:space="preserve"> implementation </w:t>
      </w:r>
      <w:r>
        <w:t>might</w:t>
      </w:r>
      <w:r w:rsidRPr="00001D05">
        <w:t xml:space="preserve"> be non-interoperable with another. Additional agreements like application profiles prevent different implementations and thus imp</w:t>
      </w:r>
      <w:r>
        <w:t xml:space="preserve">rove interoperability. Also, </w:t>
      </w:r>
      <w:r w:rsidR="004A1C9A">
        <w:t>OAuth</w:t>
      </w:r>
      <w:r w:rsidR="00001D05">
        <w:t xml:space="preserve"> 2.0 </w:t>
      </w:r>
      <w:r w:rsidR="0079255B">
        <w:t xml:space="preserve">does </w:t>
      </w:r>
      <w:r w:rsidR="00001D05">
        <w:t>not support encryption, signature or client verification</w:t>
      </w:r>
      <w:r w:rsidR="00B24EA4">
        <w:t xml:space="preserve"> directly</w:t>
      </w:r>
      <w:r w:rsidR="00001D05">
        <w:t xml:space="preserve">. Instead, </w:t>
      </w:r>
      <w:r w:rsidR="004A1C9A">
        <w:t>OAuth</w:t>
      </w:r>
      <w:r w:rsidR="005D6993">
        <w:t xml:space="preserve"> 2.0</w:t>
      </w:r>
      <w:r w:rsidR="00001D05">
        <w:t xml:space="preserve"> expects implementers to use an outside protection protocol</w:t>
      </w:r>
      <w:r w:rsidR="00091236">
        <w:t xml:space="preserve">, which caused security vulnerabilities. </w:t>
      </w:r>
    </w:p>
    <w:p w14:paraId="64BA6118" w14:textId="3EA26933" w:rsidR="00177C7B" w:rsidRDefault="00177C7B" w:rsidP="00986E1D">
      <w:r>
        <w:t>However,</w:t>
      </w:r>
      <w:r w:rsidR="0090563A">
        <w:t xml:space="preserve"> the aforementioned issues did not prevent</w:t>
      </w:r>
      <w:r>
        <w:t xml:space="preserve"> </w:t>
      </w:r>
      <w:r w:rsidR="004A1C9A">
        <w:t>OAuth</w:t>
      </w:r>
      <w:r>
        <w:t xml:space="preserve"> 2.0 </w:t>
      </w:r>
      <w:r w:rsidR="0090563A">
        <w:t>to impose</w:t>
      </w:r>
      <w:r>
        <w:t xml:space="preserve"> itself since several years as a standard </w:t>
      </w:r>
      <w:r w:rsidR="0090563A">
        <w:t>security framework for transmitting</w:t>
      </w:r>
      <w:r w:rsidRPr="00177C7B">
        <w:t xml:space="preserve"> </w:t>
      </w:r>
      <w:r w:rsidRPr="00177C7B">
        <w:rPr>
          <w:iCs/>
        </w:rPr>
        <w:t>authorization decisions</w:t>
      </w:r>
      <w:r w:rsidRPr="00177C7B">
        <w:t xml:space="preserve"> across a network of web applications and APIs</w:t>
      </w:r>
      <w:r>
        <w:t>. The version 2</w:t>
      </w:r>
      <w:r w:rsidR="00647771">
        <w:t>.0</w:t>
      </w:r>
      <w:r>
        <w:t xml:space="preserve"> of the technical specification is today widely adopted, notably by internet giants as Facebook or Google. </w:t>
      </w:r>
    </w:p>
    <w:p w14:paraId="47BFB48C" w14:textId="77777777" w:rsidR="003C7171" w:rsidRPr="00BE3243" w:rsidRDefault="003C7171" w:rsidP="00986E1D">
      <w:pPr>
        <w:rPr>
          <w:rFonts w:cs="Arial"/>
          <w:szCs w:val="20"/>
        </w:rPr>
      </w:pPr>
    </w:p>
    <w:p w14:paraId="15A84722" w14:textId="12243402" w:rsidR="004A1A48" w:rsidRPr="00546951" w:rsidRDefault="00573248" w:rsidP="00F376A1">
      <w:pPr>
        <w:pStyle w:val="Kop1"/>
      </w:pPr>
      <w:bookmarkStart w:id="1" w:name="_CAMSS_PRE-EVALUATION_RESULTS"/>
      <w:bookmarkEnd w:id="1"/>
      <w:r w:rsidRPr="00FB0747">
        <w:lastRenderedPageBreak/>
        <w:t xml:space="preserve">CAMSS </w:t>
      </w:r>
      <w:r w:rsidR="001B060A" w:rsidRPr="00DD0178">
        <w:t>PRE-EVALUATION RESULTS</w:t>
      </w:r>
    </w:p>
    <w:p w14:paraId="64019137" w14:textId="4EBD0D40" w:rsidR="00546951" w:rsidRDefault="00546951" w:rsidP="00DB1E12">
      <w:pPr>
        <w:rPr>
          <w:b/>
          <w:sz w:val="32"/>
          <w:szCs w:val="32"/>
        </w:rPr>
      </w:pPr>
      <w:r w:rsidRPr="00DB1E12">
        <w:rPr>
          <w:b/>
          <w:sz w:val="32"/>
          <w:szCs w:val="32"/>
        </w:rPr>
        <w:t>Introduction</w:t>
      </w:r>
      <w:r w:rsidR="005A1B51">
        <w:rPr>
          <w:rStyle w:val="Voetnootmarkering"/>
          <w:b/>
          <w:sz w:val="32"/>
          <w:szCs w:val="32"/>
        </w:rPr>
        <w:footnoteReference w:id="9"/>
      </w:r>
    </w:p>
    <w:p w14:paraId="3FD48950" w14:textId="082F6297" w:rsidR="00546951" w:rsidRPr="00DB1E12" w:rsidRDefault="00546951" w:rsidP="00546951">
      <w:pPr>
        <w:rPr>
          <w:rFonts w:cs="Arial"/>
          <w:lang w:val="en-US"/>
        </w:rPr>
      </w:pPr>
      <w:r w:rsidRPr="00DB1E12">
        <w:rPr>
          <w:rFonts w:cs="Arial"/>
        </w:rPr>
        <w:t xml:space="preserve">This </w:t>
      </w:r>
      <w:r w:rsidR="008100D6">
        <w:rPr>
          <w:rFonts w:cs="Arial"/>
        </w:rPr>
        <w:t>section</w:t>
      </w:r>
      <w:r w:rsidR="008100D6" w:rsidRPr="00DB1E12">
        <w:rPr>
          <w:rFonts w:cs="Arial"/>
        </w:rPr>
        <w:t xml:space="preserve"> </w:t>
      </w:r>
      <w:r w:rsidR="008100D6">
        <w:rPr>
          <w:rFonts w:cs="Arial"/>
        </w:rPr>
        <w:t xml:space="preserve">provides </w:t>
      </w:r>
      <w:r w:rsidRPr="00DB1E12">
        <w:rPr>
          <w:rFonts w:cs="Arial"/>
        </w:rPr>
        <w:t xml:space="preserve">the European Multi-stakeholder Platform on ICT </w:t>
      </w:r>
      <w:r w:rsidR="008100D6" w:rsidRPr="00DB1E12">
        <w:rPr>
          <w:rFonts w:cs="Arial"/>
        </w:rPr>
        <w:t>Standardi</w:t>
      </w:r>
      <w:r w:rsidR="008100D6">
        <w:rPr>
          <w:rFonts w:cs="Arial"/>
        </w:rPr>
        <w:t>s</w:t>
      </w:r>
      <w:r w:rsidR="008100D6" w:rsidRPr="00DB1E12">
        <w:rPr>
          <w:rFonts w:cs="Arial"/>
        </w:rPr>
        <w:t xml:space="preserve">ation </w:t>
      </w:r>
      <w:r w:rsidR="008100D6">
        <w:rPr>
          <w:rFonts w:cs="Arial"/>
        </w:rPr>
        <w:t xml:space="preserve">with preliminary findings to </w:t>
      </w:r>
      <w:r w:rsidR="00173247">
        <w:rPr>
          <w:rFonts w:cs="Arial"/>
        </w:rPr>
        <w:t>help</w:t>
      </w:r>
      <w:r w:rsidR="008100D6">
        <w:rPr>
          <w:rFonts w:cs="Arial"/>
        </w:rPr>
        <w:t xml:space="preserve"> it </w:t>
      </w:r>
      <w:r w:rsidR="001B41F4">
        <w:rPr>
          <w:rFonts w:cs="Arial"/>
        </w:rPr>
        <w:t>on the evaluation of</w:t>
      </w:r>
      <w:r w:rsidRPr="00DB1E12">
        <w:rPr>
          <w:rFonts w:cs="Arial"/>
        </w:rPr>
        <w:t xml:space="preserve"> the specification "</w:t>
      </w:r>
      <w:r w:rsidR="004A1C9A">
        <w:rPr>
          <w:rFonts w:cs="Arial"/>
        </w:rPr>
        <w:t>OAuth</w:t>
      </w:r>
      <w:r w:rsidR="005B7F1C">
        <w:rPr>
          <w:rFonts w:cs="Arial"/>
        </w:rPr>
        <w:t xml:space="preserve"> 2.0</w:t>
      </w:r>
      <w:r>
        <w:rPr>
          <w:rFonts w:cs="Arial"/>
        </w:rPr>
        <w:t>”</w:t>
      </w:r>
      <w:r w:rsidRPr="00DB1E12">
        <w:rPr>
          <w:rFonts w:cs="Arial"/>
        </w:rPr>
        <w:t xml:space="preserve"> </w:t>
      </w:r>
      <w:r w:rsidR="00173247">
        <w:rPr>
          <w:rFonts w:cs="Arial"/>
        </w:rPr>
        <w:t>for</w:t>
      </w:r>
      <w:r w:rsidRPr="00DB1E12">
        <w:rPr>
          <w:rFonts w:cs="Arial"/>
        </w:rPr>
        <w:t xml:space="preserve"> identifi</w:t>
      </w:r>
      <w:r w:rsidR="00173247">
        <w:rPr>
          <w:rFonts w:cs="Arial"/>
        </w:rPr>
        <w:t>cation</w:t>
      </w:r>
      <w:r w:rsidRPr="00DB1E12">
        <w:rPr>
          <w:rFonts w:cs="Arial"/>
        </w:rPr>
        <w:t xml:space="preserve"> </w:t>
      </w:r>
      <w:r w:rsidR="00173247">
        <w:rPr>
          <w:rFonts w:cs="Arial"/>
        </w:rPr>
        <w:t>pursuant to a</w:t>
      </w:r>
      <w:r w:rsidRPr="00DB1E12">
        <w:rPr>
          <w:rFonts w:cs="Arial"/>
        </w:rPr>
        <w:t>rticle 13 and Annex II of Regulation (EU) No. 1025 /2012</w:t>
      </w:r>
      <w:r w:rsidR="00767F98">
        <w:rPr>
          <w:rStyle w:val="Voetnootmarkering"/>
          <w:rFonts w:cs="Arial"/>
        </w:rPr>
        <w:footnoteReference w:id="10"/>
      </w:r>
      <w:r w:rsidRPr="00DB1E12">
        <w:rPr>
          <w:rFonts w:cs="Arial"/>
        </w:rPr>
        <w:t>.</w:t>
      </w:r>
    </w:p>
    <w:p w14:paraId="57A4A258" w14:textId="77AA8DEF" w:rsidR="00546951" w:rsidRPr="00DB1E12" w:rsidRDefault="00546951" w:rsidP="00546951">
      <w:pPr>
        <w:rPr>
          <w:rFonts w:cs="Arial"/>
        </w:rPr>
      </w:pPr>
      <w:r w:rsidRPr="00DB1E12">
        <w:rPr>
          <w:rFonts w:cs="Arial"/>
        </w:rPr>
        <w:t>The report covers the following</w:t>
      </w:r>
      <w:r w:rsidR="00B40A5C">
        <w:rPr>
          <w:rFonts w:cs="Arial"/>
        </w:rPr>
        <w:t xml:space="preserve"> </w:t>
      </w:r>
      <w:r w:rsidR="00173247">
        <w:rPr>
          <w:rFonts w:cs="Arial"/>
        </w:rPr>
        <w:t xml:space="preserve">detailed </w:t>
      </w:r>
      <w:r w:rsidR="00B40A5C">
        <w:rPr>
          <w:rFonts w:cs="Arial"/>
        </w:rPr>
        <w:t>assessments</w:t>
      </w:r>
      <w:r w:rsidR="00173247">
        <w:rPr>
          <w:rFonts w:cs="Arial"/>
        </w:rPr>
        <w:t xml:space="preserve"> on Annex II criteria of the</w:t>
      </w:r>
      <w:r w:rsidR="00647771">
        <w:rPr>
          <w:rFonts w:cs="Arial"/>
        </w:rPr>
        <w:t xml:space="preserve"> European</w:t>
      </w:r>
      <w:r w:rsidR="00173247">
        <w:rPr>
          <w:rFonts w:cs="Arial"/>
        </w:rPr>
        <w:t xml:space="preserve"> standardisation regulation</w:t>
      </w:r>
      <w:r w:rsidRPr="00DB1E12">
        <w:rPr>
          <w:rFonts w:cs="Arial"/>
        </w:rPr>
        <w:t>:</w:t>
      </w:r>
    </w:p>
    <w:p w14:paraId="61F4F377" w14:textId="1CE60317" w:rsidR="00546951" w:rsidRPr="00DB1E12" w:rsidRDefault="00546951" w:rsidP="00546951">
      <w:pPr>
        <w:ind w:left="284" w:hanging="284"/>
        <w:rPr>
          <w:rFonts w:cs="Arial"/>
        </w:rPr>
      </w:pPr>
      <w:r w:rsidRPr="00DB1E12">
        <w:rPr>
          <w:rFonts w:cs="Arial"/>
        </w:rPr>
        <w:t xml:space="preserve">1) </w:t>
      </w:r>
      <w:r w:rsidR="00B40A5C">
        <w:rPr>
          <w:rFonts w:cs="Arial"/>
        </w:rPr>
        <w:t>C</w:t>
      </w:r>
      <w:r w:rsidRPr="00DB1E12">
        <w:rPr>
          <w:rFonts w:cs="Arial"/>
        </w:rPr>
        <w:t xml:space="preserve">ompliance with the "market acceptance" and "coherence" criteria set </w:t>
      </w:r>
      <w:r w:rsidR="00173247">
        <w:rPr>
          <w:rFonts w:cs="Arial"/>
        </w:rPr>
        <w:t xml:space="preserve">out </w:t>
      </w:r>
      <w:r w:rsidRPr="00DB1E12">
        <w:rPr>
          <w:rFonts w:cs="Arial"/>
        </w:rPr>
        <w:t>by Annex II.</w:t>
      </w:r>
      <w:r w:rsidR="00B40A5C">
        <w:rPr>
          <w:rFonts w:cs="Arial"/>
        </w:rPr>
        <w:t xml:space="preserve"> §</w:t>
      </w:r>
      <w:r w:rsidRPr="00DB1E12">
        <w:rPr>
          <w:rFonts w:cs="Arial"/>
        </w:rPr>
        <w:t xml:space="preserve">1 &amp; </w:t>
      </w:r>
      <w:r w:rsidR="00B40A5C">
        <w:rPr>
          <w:rFonts w:cs="Arial"/>
        </w:rPr>
        <w:t>§</w:t>
      </w:r>
      <w:r w:rsidRPr="00DB1E12">
        <w:rPr>
          <w:rFonts w:cs="Arial"/>
        </w:rPr>
        <w:t>2; providing information on the proposed ICT technical specification</w:t>
      </w:r>
      <w:r>
        <w:rPr>
          <w:rFonts w:cs="Arial"/>
        </w:rPr>
        <w:t>s</w:t>
      </w:r>
      <w:r w:rsidRPr="00DB1E12">
        <w:rPr>
          <w:rFonts w:cs="Arial"/>
        </w:rPr>
        <w:t xml:space="preserve"> </w:t>
      </w:r>
      <w:r w:rsidR="00B40A5C">
        <w:rPr>
          <w:rFonts w:cs="Arial"/>
        </w:rPr>
        <w:t xml:space="preserve">in relation to </w:t>
      </w:r>
      <w:r w:rsidRPr="00DB1E12">
        <w:rPr>
          <w:rFonts w:cs="Arial"/>
        </w:rPr>
        <w:t xml:space="preserve">the formal European standardisation system and </w:t>
      </w:r>
      <w:r w:rsidR="00B40A5C">
        <w:rPr>
          <w:rFonts w:cs="Arial"/>
        </w:rPr>
        <w:t xml:space="preserve">related </w:t>
      </w:r>
      <w:r w:rsidRPr="00DB1E12">
        <w:rPr>
          <w:rFonts w:cs="Arial"/>
        </w:rPr>
        <w:t>standardi</w:t>
      </w:r>
      <w:r w:rsidR="00B40A5C">
        <w:rPr>
          <w:rFonts w:cs="Arial"/>
        </w:rPr>
        <w:t>s</w:t>
      </w:r>
      <w:r w:rsidRPr="00DB1E12">
        <w:rPr>
          <w:rFonts w:cs="Arial"/>
        </w:rPr>
        <w:t>ation ac</w:t>
      </w:r>
      <w:r>
        <w:rPr>
          <w:rFonts w:cs="Arial"/>
        </w:rPr>
        <w:t>tivities.</w:t>
      </w:r>
    </w:p>
    <w:p w14:paraId="0D2D12D8" w14:textId="3F1140BA" w:rsidR="00546951" w:rsidRPr="00DB1E12" w:rsidRDefault="00546951" w:rsidP="00546951">
      <w:pPr>
        <w:ind w:left="284" w:hanging="284"/>
        <w:rPr>
          <w:rFonts w:cs="Arial"/>
        </w:rPr>
      </w:pPr>
      <w:r w:rsidRPr="00DB1E12">
        <w:rPr>
          <w:rFonts w:cs="Arial"/>
        </w:rPr>
        <w:t xml:space="preserve">2) </w:t>
      </w:r>
      <w:r w:rsidR="00B40A5C">
        <w:rPr>
          <w:rFonts w:cs="Arial"/>
        </w:rPr>
        <w:t>C</w:t>
      </w:r>
      <w:r w:rsidRPr="00DB1E12">
        <w:rPr>
          <w:rFonts w:cs="Arial"/>
        </w:rPr>
        <w:t xml:space="preserve">haracteristics of the organisation and its technical specification developing procedures in accordance </w:t>
      </w:r>
      <w:r w:rsidR="00173247">
        <w:rPr>
          <w:rFonts w:cs="Arial"/>
        </w:rPr>
        <w:t>to</w:t>
      </w:r>
      <w:r w:rsidR="00173247" w:rsidRPr="00DB1E12">
        <w:rPr>
          <w:rFonts w:cs="Arial"/>
        </w:rPr>
        <w:t xml:space="preserve"> </w:t>
      </w:r>
      <w:r w:rsidRPr="00DB1E12">
        <w:rPr>
          <w:rFonts w:cs="Arial"/>
        </w:rPr>
        <w:t>Annex II.3.</w:t>
      </w:r>
    </w:p>
    <w:p w14:paraId="3AD9E106" w14:textId="13ED0254" w:rsidR="00546951" w:rsidRDefault="00546951" w:rsidP="00DB1E12">
      <w:pPr>
        <w:ind w:left="284" w:hanging="284"/>
        <w:rPr>
          <w:rFonts w:cs="Arial"/>
        </w:rPr>
      </w:pPr>
      <w:r w:rsidRPr="00DB1E12">
        <w:rPr>
          <w:rFonts w:cs="Arial"/>
        </w:rPr>
        <w:t xml:space="preserve">3) </w:t>
      </w:r>
      <w:r w:rsidR="00B40A5C">
        <w:rPr>
          <w:rFonts w:cs="Arial"/>
        </w:rPr>
        <w:t>C</w:t>
      </w:r>
      <w:r w:rsidRPr="00DB1E12">
        <w:rPr>
          <w:rFonts w:cs="Arial"/>
        </w:rPr>
        <w:t xml:space="preserve">ompliance </w:t>
      </w:r>
      <w:r w:rsidR="00B40A5C">
        <w:rPr>
          <w:rFonts w:cs="Arial"/>
        </w:rPr>
        <w:t xml:space="preserve">with </w:t>
      </w:r>
      <w:r w:rsidRPr="00DB1E12">
        <w:rPr>
          <w:rFonts w:cs="Arial"/>
        </w:rPr>
        <w:t>the requirements for the identification of ICT technical specification</w:t>
      </w:r>
      <w:r>
        <w:rPr>
          <w:rFonts w:cs="Arial"/>
        </w:rPr>
        <w:t>s</w:t>
      </w:r>
      <w:r w:rsidRPr="00DB1E12">
        <w:rPr>
          <w:rFonts w:cs="Arial"/>
        </w:rPr>
        <w:t xml:space="preserve"> set </w:t>
      </w:r>
      <w:r w:rsidR="00173247">
        <w:rPr>
          <w:rFonts w:cs="Arial"/>
        </w:rPr>
        <w:t xml:space="preserve">out </w:t>
      </w:r>
      <w:r w:rsidRPr="00DB1E12">
        <w:rPr>
          <w:rFonts w:cs="Arial"/>
        </w:rPr>
        <w:t>by Annex II.4.</w:t>
      </w:r>
    </w:p>
    <w:p w14:paraId="27FCE44C" w14:textId="534A05AC" w:rsidR="00546951" w:rsidRPr="00DB1E12" w:rsidRDefault="005E7459" w:rsidP="00CE1111">
      <w:pPr>
        <w:pStyle w:val="Kop1"/>
      </w:pPr>
      <w:r>
        <w:t xml:space="preserve">1. </w:t>
      </w:r>
      <w:r w:rsidR="001B41F4">
        <w:t>Pre-r</w:t>
      </w:r>
      <w:r w:rsidR="00546951" w:rsidRPr="00DB1E12">
        <w:t>eport to the platform</w:t>
      </w:r>
    </w:p>
    <w:p w14:paraId="15A84723" w14:textId="5976D03A" w:rsidR="004A1A48" w:rsidRDefault="003F3411" w:rsidP="00DB1E12">
      <w:pPr>
        <w:rPr>
          <w:b/>
          <w:sz w:val="28"/>
          <w:szCs w:val="32"/>
        </w:rPr>
      </w:pPr>
      <w:r>
        <w:rPr>
          <w:b/>
          <w:sz w:val="28"/>
          <w:szCs w:val="32"/>
        </w:rPr>
        <w:t>1.</w:t>
      </w:r>
      <w:r w:rsidR="00573248">
        <w:rPr>
          <w:b/>
          <w:sz w:val="28"/>
          <w:szCs w:val="32"/>
        </w:rPr>
        <w:t>1</w:t>
      </w:r>
      <w:r>
        <w:rPr>
          <w:b/>
          <w:sz w:val="28"/>
          <w:szCs w:val="32"/>
        </w:rPr>
        <w:t xml:space="preserve"> </w:t>
      </w:r>
      <w:r w:rsidR="004A1A48" w:rsidRPr="00DB1E12">
        <w:rPr>
          <w:b/>
          <w:sz w:val="28"/>
          <w:szCs w:val="32"/>
        </w:rPr>
        <w:t>Subject of the evaluation</w:t>
      </w:r>
      <w:r w:rsidR="0084141D">
        <w:rPr>
          <w:rStyle w:val="Voetnootmarkering"/>
          <w:b/>
          <w:sz w:val="28"/>
          <w:szCs w:val="32"/>
        </w:rPr>
        <w:footnoteReference w:id="11"/>
      </w:r>
    </w:p>
    <w:p w14:paraId="45298A1F" w14:textId="2EEB3C77" w:rsidR="0014402C" w:rsidRDefault="004A1C9A" w:rsidP="0014402C">
      <w:r>
        <w:t>OAuth</w:t>
      </w:r>
      <w:r w:rsidR="0014402C">
        <w:t xml:space="preserve"> 2.0 is the latest version of the </w:t>
      </w:r>
      <w:r>
        <w:t>OAuth</w:t>
      </w:r>
      <w:r w:rsidR="0014402C">
        <w:t xml:space="preserve"> protocol which was originally developed by </w:t>
      </w:r>
      <w:r w:rsidR="00360220">
        <w:t>G</w:t>
      </w:r>
      <w:r w:rsidR="0014402C">
        <w:t xml:space="preserve">oogle in late 2006. </w:t>
      </w:r>
      <w:r>
        <w:t>OAuth</w:t>
      </w:r>
      <w:r w:rsidR="0014402C">
        <w:t xml:space="preserve"> 2.0 focuses on client developer simplicity while providing specific authorization flows for web applications, desktop applications, mobile phones, and living room devices.</w:t>
      </w:r>
      <w:r w:rsidR="006317F9">
        <w:t xml:space="preserve"> </w:t>
      </w:r>
      <w:r w:rsidR="0014402C">
        <w:t xml:space="preserve">This specification has been developed within the IETF </w:t>
      </w:r>
      <w:r>
        <w:t>OAuth</w:t>
      </w:r>
      <w:r w:rsidR="0014402C">
        <w:t xml:space="preserve"> Working Group, is not backward compatible with </w:t>
      </w:r>
      <w:r w:rsidR="00647771">
        <w:t>its</w:t>
      </w:r>
      <w:r w:rsidR="0014402C">
        <w:t xml:space="preserve"> previous versions and is considered a </w:t>
      </w:r>
      <w:r w:rsidR="006317F9">
        <w:t>f</w:t>
      </w:r>
      <w:r w:rsidR="0014402C">
        <w:t xml:space="preserve">ramework for </w:t>
      </w:r>
      <w:r w:rsidR="006317F9">
        <w:t>a</w:t>
      </w:r>
      <w:r w:rsidR="0014402C">
        <w:t>uthorization delegation between third parties.</w:t>
      </w:r>
    </w:p>
    <w:p w14:paraId="65A49064" w14:textId="1069B8F3" w:rsidR="0014402C" w:rsidRDefault="004A1C9A" w:rsidP="0014402C">
      <w:r>
        <w:t>OAuth</w:t>
      </w:r>
      <w:r w:rsidR="0014402C">
        <w:t xml:space="preserve"> 2.0 provides clients</w:t>
      </w:r>
      <w:r w:rsidR="006317F9">
        <w:t xml:space="preserve"> with</w:t>
      </w:r>
      <w:r w:rsidR="0014402C">
        <w:t xml:space="preserve"> a "secure delegated access" to server resources on behalf of a resource owner. It specifies a process for resource owners to authorize third-party access to their server resources without sharing their credentials. Designed specifically to work with Hypertext Transfer Protocol (HTTP), </w:t>
      </w:r>
      <w:r>
        <w:t>OAuth</w:t>
      </w:r>
      <w:r w:rsidR="0014402C">
        <w:t xml:space="preserve"> essentially allows access tokens</w:t>
      </w:r>
      <w:r w:rsidR="003B315C">
        <w:rPr>
          <w:rStyle w:val="Voetnootmarkering"/>
        </w:rPr>
        <w:footnoteReference w:id="12"/>
      </w:r>
      <w:r w:rsidR="0014402C">
        <w:t xml:space="preserve"> to be issued to third-party clients by an authorization server, with the approval of the resource owner. The third party then uses the access token to access the protected resources hosted by the resource server</w:t>
      </w:r>
      <w:r w:rsidR="009F5B5F">
        <w:t>.</w:t>
      </w:r>
    </w:p>
    <w:p w14:paraId="754430F4" w14:textId="21C9506C" w:rsidR="0014402C" w:rsidRDefault="004A1C9A" w:rsidP="0014402C">
      <w:r>
        <w:t>OAuth</w:t>
      </w:r>
      <w:r w:rsidR="0014402C">
        <w:t xml:space="preserve"> 2.0 is commonly used by Internet users to grant websites or applications access to their information on other website without sharing any credentials. This mechanism is used by companies such as Amazon, Google, Facebook, Microsoft and Twitter to allow the users to share information about their accounts with third party applications or websites.</w:t>
      </w:r>
    </w:p>
    <w:p w14:paraId="15A84725" w14:textId="71D4904A" w:rsidR="004A1A48" w:rsidRDefault="003F3411" w:rsidP="00DB1E12">
      <w:pPr>
        <w:rPr>
          <w:rFonts w:asciiTheme="minorHAnsi" w:hAnsiTheme="minorHAnsi"/>
          <w:b/>
          <w:sz w:val="28"/>
          <w:szCs w:val="32"/>
        </w:rPr>
      </w:pPr>
      <w:r>
        <w:rPr>
          <w:b/>
          <w:sz w:val="28"/>
          <w:szCs w:val="32"/>
        </w:rPr>
        <w:t>1.</w:t>
      </w:r>
      <w:r w:rsidR="00573248">
        <w:rPr>
          <w:b/>
          <w:sz w:val="28"/>
          <w:szCs w:val="32"/>
        </w:rPr>
        <w:t>2</w:t>
      </w:r>
      <w:r>
        <w:rPr>
          <w:b/>
          <w:sz w:val="28"/>
          <w:szCs w:val="32"/>
        </w:rPr>
        <w:t xml:space="preserve"> </w:t>
      </w:r>
      <w:r w:rsidR="004A1A48" w:rsidRPr="00DB1E12">
        <w:rPr>
          <w:rFonts w:asciiTheme="minorHAnsi" w:hAnsiTheme="minorHAnsi"/>
          <w:b/>
          <w:sz w:val="28"/>
          <w:szCs w:val="32"/>
        </w:rPr>
        <w:t>Possible links with other ICT technical specifications or standards</w:t>
      </w:r>
    </w:p>
    <w:p w14:paraId="66D229E7" w14:textId="117B62DF" w:rsidR="006317F9" w:rsidRDefault="006317F9" w:rsidP="006317F9">
      <w:r>
        <w:lastRenderedPageBreak/>
        <w:t>The integration of applications and services external to the organisation’s domain is nowadays a common approach. This implies the management of the authentication and authorization for the entities aiming to consume the Application Programming Interfaces (APIs). The aforementioned implementation requires service</w:t>
      </w:r>
      <w:r w:rsidR="000F0705">
        <w:t>-</w:t>
      </w:r>
      <w:r>
        <w:t>oriented architectures associated with a single sign-on (SSO) strategy. In this context, federated identities are used in order to link electronic identities a user has across identity management systems.</w:t>
      </w:r>
    </w:p>
    <w:p w14:paraId="279E6A9F" w14:textId="2DC90DF1" w:rsidR="006317F9" w:rsidRDefault="006317F9" w:rsidP="006317F9">
      <w:r>
        <w:t>Federated identities</w:t>
      </w:r>
      <w:r w:rsidR="000F0705">
        <w:t>’</w:t>
      </w:r>
      <w:r>
        <w:t xml:space="preserve"> benefits are related to the management of authentication and authorisation but also to enhance the end-users’ experience. The protocols with a significant market share of adoption employed for federated identity implementations are </w:t>
      </w:r>
      <w:proofErr w:type="spellStart"/>
      <w:r>
        <w:t>OpenID</w:t>
      </w:r>
      <w:proofErr w:type="spellEnd"/>
      <w:r>
        <w:t xml:space="preserve"> Connect, SAML v2.0, and </w:t>
      </w:r>
      <w:r w:rsidR="004A1C9A">
        <w:t>OAuth</w:t>
      </w:r>
      <w:r>
        <w:t xml:space="preserve"> 2.0.</w:t>
      </w:r>
    </w:p>
    <w:p w14:paraId="036D183A" w14:textId="458CBCFC" w:rsidR="006317F9" w:rsidRDefault="006317F9" w:rsidP="006317F9">
      <w:r>
        <w:t>SAML 2.0 (Security Assertion Mark-up Language) is the oldest of the three technical specifications and deals with both authori</w:t>
      </w:r>
      <w:r w:rsidR="000A0FC0">
        <w:t>zation and authentication. The t</w:t>
      </w:r>
      <w:r>
        <w:t xml:space="preserve">echnical specification is widely applicable but its common usage is </w:t>
      </w:r>
      <w:r w:rsidR="000A0FC0">
        <w:t>especially focused on</w:t>
      </w:r>
      <w:r>
        <w:t xml:space="preserve"> enterprise </w:t>
      </w:r>
      <w:r w:rsidR="000F0705">
        <w:t>SSO</w:t>
      </w:r>
      <w:r>
        <w:t xml:space="preserve"> unlike </w:t>
      </w:r>
      <w:r w:rsidR="004A1C9A">
        <w:t>OAuth</w:t>
      </w:r>
      <w:r>
        <w:t xml:space="preserve"> 2.0</w:t>
      </w:r>
      <w:r w:rsidR="000A0FC0">
        <w:t>, which does no</w:t>
      </w:r>
      <w:r>
        <w:t>t cover authentication and is designed for use with web applications on the Internet.</w:t>
      </w:r>
    </w:p>
    <w:p w14:paraId="0B4720F8" w14:textId="6B088D03" w:rsidR="006317F9" w:rsidRDefault="006317F9" w:rsidP="006317F9">
      <w:proofErr w:type="spellStart"/>
      <w:r>
        <w:t>OpenID</w:t>
      </w:r>
      <w:proofErr w:type="spellEnd"/>
      <w:r>
        <w:t xml:space="preserve"> was originally an open standard for authentication that is completely d</w:t>
      </w:r>
      <w:r w:rsidR="000A0FC0">
        <w:t>ifferen</w:t>
      </w:r>
      <w:r>
        <w:t xml:space="preserve">t from </w:t>
      </w:r>
      <w:r w:rsidR="004A1C9A">
        <w:t>OAuth</w:t>
      </w:r>
      <w:r>
        <w:t>. However, its latest version</w:t>
      </w:r>
      <w:r w:rsidR="000A0FC0">
        <w:t>,</w:t>
      </w:r>
      <w:r>
        <w:t xml:space="preserve"> called </w:t>
      </w:r>
      <w:proofErr w:type="spellStart"/>
      <w:r>
        <w:t>OpenID</w:t>
      </w:r>
      <w:proofErr w:type="spellEnd"/>
      <w:r>
        <w:t xml:space="preserve"> Connect, </w:t>
      </w:r>
      <w:r w:rsidRPr="00185D15">
        <w:t xml:space="preserve">combines </w:t>
      </w:r>
      <w:proofErr w:type="spellStart"/>
      <w:r w:rsidRPr="00185D15">
        <w:t>O</w:t>
      </w:r>
      <w:r>
        <w:t>penID</w:t>
      </w:r>
      <w:proofErr w:type="spellEnd"/>
      <w:r>
        <w:t xml:space="preserve"> authentication and </w:t>
      </w:r>
      <w:r w:rsidR="004A1C9A">
        <w:t>OAuth</w:t>
      </w:r>
      <w:r>
        <w:t xml:space="preserve"> 2.0 </w:t>
      </w:r>
      <w:r w:rsidRPr="00185D15">
        <w:t>authorization</w:t>
      </w:r>
      <w:r w:rsidR="000A0FC0">
        <w:t>.</w:t>
      </w:r>
    </w:p>
    <w:p w14:paraId="42C890E7" w14:textId="433ADD53" w:rsidR="006317F9" w:rsidRDefault="000A0FC0" w:rsidP="006317F9">
      <w:r>
        <w:t xml:space="preserve">Since </w:t>
      </w:r>
      <w:proofErr w:type="spellStart"/>
      <w:r>
        <w:t>OpenID</w:t>
      </w:r>
      <w:proofErr w:type="spellEnd"/>
      <w:r w:rsidR="006317F9">
        <w:t xml:space="preserve"> </w:t>
      </w:r>
      <w:r>
        <w:t xml:space="preserve">Connect </w:t>
      </w:r>
      <w:r w:rsidR="006317F9">
        <w:t>covers both authenticati</w:t>
      </w:r>
      <w:r>
        <w:t>on and authorisation and that</w:t>
      </w:r>
      <w:r w:rsidR="006317F9">
        <w:t xml:space="preserve"> encompasses </w:t>
      </w:r>
      <w:r w:rsidR="004A1C9A">
        <w:t>OAuth</w:t>
      </w:r>
      <w:r w:rsidR="006317F9">
        <w:t xml:space="preserve">, it is more comparable to SAML 2.0 than </w:t>
      </w:r>
      <w:r w:rsidR="000F0705">
        <w:t xml:space="preserve">to </w:t>
      </w:r>
      <w:r w:rsidR="004A1C9A">
        <w:t>OAuth</w:t>
      </w:r>
      <w:r w:rsidR="006317F9">
        <w:t xml:space="preserve"> 2.0. </w:t>
      </w:r>
      <w:proofErr w:type="spellStart"/>
      <w:r w:rsidR="006317F9">
        <w:t>OpenID</w:t>
      </w:r>
      <w:proofErr w:type="spellEnd"/>
      <w:r w:rsidR="006317F9">
        <w:t xml:space="preserve"> Connect is considered as the future of authentication and authorization particularly because it </w:t>
      </w:r>
      <w:r w:rsidR="000F0705">
        <w:t>was</w:t>
      </w:r>
      <w:r w:rsidR="006317F9">
        <w:t xml:space="preserve"> developed with the perspective </w:t>
      </w:r>
      <w:r>
        <w:t>of being</w:t>
      </w:r>
      <w:r w:rsidR="006317F9">
        <w:t xml:space="preserve"> implemented within mobile and native apps.</w:t>
      </w:r>
    </w:p>
    <w:p w14:paraId="15A84726" w14:textId="4239424B" w:rsidR="004A1A48" w:rsidRPr="00DB1E12" w:rsidRDefault="00573248" w:rsidP="00CE1111">
      <w:pPr>
        <w:pStyle w:val="Kop1"/>
      </w:pPr>
      <w:r>
        <w:t xml:space="preserve">2. </w:t>
      </w:r>
      <w:r w:rsidR="004A1A48" w:rsidRPr="00DB1E12">
        <w:t xml:space="preserve">Evaluation of compliance </w:t>
      </w:r>
    </w:p>
    <w:p w14:paraId="15A84727" w14:textId="47D657CB" w:rsidR="004A1A48" w:rsidRPr="00DB1E12" w:rsidRDefault="003F3411" w:rsidP="00DB1E12">
      <w:pPr>
        <w:rPr>
          <w:rFonts w:asciiTheme="minorHAnsi" w:hAnsiTheme="minorHAnsi"/>
          <w:b/>
          <w:sz w:val="28"/>
          <w:szCs w:val="32"/>
        </w:rPr>
      </w:pPr>
      <w:r>
        <w:rPr>
          <w:b/>
          <w:sz w:val="28"/>
          <w:szCs w:val="32"/>
        </w:rPr>
        <w:t xml:space="preserve">2.1 </w:t>
      </w:r>
      <w:r w:rsidR="004A1A48" w:rsidRPr="00DB1E12">
        <w:rPr>
          <w:rFonts w:asciiTheme="minorHAnsi" w:hAnsiTheme="minorHAnsi"/>
          <w:b/>
          <w:sz w:val="28"/>
          <w:szCs w:val="32"/>
        </w:rPr>
        <w:t>Market acceptance</w:t>
      </w:r>
    </w:p>
    <w:p w14:paraId="45AE4720" w14:textId="4DFC6959" w:rsidR="006309C2" w:rsidRDefault="004A1C9A" w:rsidP="0039164B">
      <w:pPr>
        <w:rPr>
          <w:rFonts w:cs="Arial"/>
          <w:szCs w:val="20"/>
        </w:rPr>
      </w:pPr>
      <w:r>
        <w:rPr>
          <w:rFonts w:cs="Arial"/>
          <w:szCs w:val="20"/>
        </w:rPr>
        <w:t>O</w:t>
      </w:r>
      <w:r w:rsidR="00A032DC">
        <w:rPr>
          <w:rFonts w:cs="Arial"/>
          <w:szCs w:val="20"/>
        </w:rPr>
        <w:t>Auth</w:t>
      </w:r>
      <w:r w:rsidR="004D48FD">
        <w:rPr>
          <w:rFonts w:cs="Arial"/>
          <w:szCs w:val="20"/>
        </w:rPr>
        <w:t xml:space="preserve"> 2.0</w:t>
      </w:r>
      <w:r w:rsidR="00A91508">
        <w:rPr>
          <w:rFonts w:cs="Arial"/>
          <w:szCs w:val="20"/>
        </w:rPr>
        <w:t xml:space="preserve"> </w:t>
      </w:r>
      <w:r w:rsidR="00795421">
        <w:rPr>
          <w:rFonts w:cs="Arial"/>
          <w:szCs w:val="20"/>
        </w:rPr>
        <w:t>ha</w:t>
      </w:r>
      <w:r w:rsidR="008E7C7C">
        <w:rPr>
          <w:rFonts w:cs="Arial"/>
          <w:szCs w:val="20"/>
        </w:rPr>
        <w:t>s</w:t>
      </w:r>
      <w:r w:rsidR="00795421">
        <w:rPr>
          <w:rFonts w:cs="Arial"/>
          <w:szCs w:val="20"/>
        </w:rPr>
        <w:t xml:space="preserve"> </w:t>
      </w:r>
      <w:r w:rsidR="00BE21C6">
        <w:rPr>
          <w:rFonts w:cs="Arial"/>
          <w:szCs w:val="20"/>
        </w:rPr>
        <w:t xml:space="preserve">large </w:t>
      </w:r>
      <w:r w:rsidR="00A91508">
        <w:rPr>
          <w:rFonts w:cs="Arial"/>
          <w:szCs w:val="20"/>
        </w:rPr>
        <w:t>market acceptance</w:t>
      </w:r>
      <w:r w:rsidR="006309C2">
        <w:rPr>
          <w:rFonts w:cs="Arial"/>
          <w:szCs w:val="20"/>
        </w:rPr>
        <w:t xml:space="preserve"> and there is no known issue </w:t>
      </w:r>
      <w:r w:rsidR="008E7C7C">
        <w:rPr>
          <w:rFonts w:cs="Arial"/>
          <w:szCs w:val="20"/>
        </w:rPr>
        <w:t>regarding</w:t>
      </w:r>
      <w:r w:rsidR="006309C2">
        <w:rPr>
          <w:rFonts w:cs="Arial"/>
          <w:szCs w:val="20"/>
        </w:rPr>
        <w:t xml:space="preserve"> </w:t>
      </w:r>
      <w:r>
        <w:rPr>
          <w:rFonts w:cs="Arial"/>
          <w:szCs w:val="20"/>
        </w:rPr>
        <w:t xml:space="preserve">its </w:t>
      </w:r>
      <w:r w:rsidR="006309C2">
        <w:rPr>
          <w:rFonts w:cs="Arial"/>
          <w:szCs w:val="20"/>
        </w:rPr>
        <w:t>interoperability</w:t>
      </w:r>
      <w:r w:rsidR="009F4C2C">
        <w:rPr>
          <w:rFonts w:cs="Arial"/>
          <w:szCs w:val="20"/>
        </w:rPr>
        <w:t>.</w:t>
      </w:r>
    </w:p>
    <w:p w14:paraId="3A7346B5" w14:textId="7DA6918F" w:rsidR="00A46FB0" w:rsidRDefault="009F4C2C" w:rsidP="0039164B">
      <w:r w:rsidRPr="006309C2">
        <w:t>Market acceptance</w:t>
      </w:r>
      <w:r w:rsidRPr="00725AE5">
        <w:rPr>
          <w:b/>
        </w:rPr>
        <w:t xml:space="preserve"> </w:t>
      </w:r>
      <w:r w:rsidRPr="00274FD3">
        <w:t xml:space="preserve">is evidenced by several implementations of the TS </w:t>
      </w:r>
      <w:r>
        <w:t>proving the existence of a wide customer</w:t>
      </w:r>
      <w:r w:rsidR="008E7C7C">
        <w:t xml:space="preserve"> base between </w:t>
      </w:r>
      <w:r>
        <w:t>both open source and commercial implementations</w:t>
      </w:r>
      <w:r w:rsidR="008E7C7C">
        <w:t xml:space="preserve">. </w:t>
      </w:r>
      <w:r w:rsidR="00A46FB0">
        <w:t xml:space="preserve">This is </w:t>
      </w:r>
      <w:r w:rsidR="00D57FA3">
        <w:t>a consequence of apps becoming</w:t>
      </w:r>
      <w:r w:rsidR="00A46FB0">
        <w:t xml:space="preserve"> the new intermediaries of the markets</w:t>
      </w:r>
      <w:r w:rsidR="00F95BB9">
        <w:t xml:space="preserve"> and needing a way to create trust</w:t>
      </w:r>
      <w:r w:rsidR="00D57FA3">
        <w:t>, which at the same time is a consequence of the</w:t>
      </w:r>
      <w:r w:rsidR="00A46FB0">
        <w:t xml:space="preserve"> actual market </w:t>
      </w:r>
      <w:r w:rsidR="00D57FA3">
        <w:t>trend being</w:t>
      </w:r>
      <w:r w:rsidR="00A46FB0">
        <w:t xml:space="preserve"> the expansion of open </w:t>
      </w:r>
      <w:r w:rsidR="00D57FA3">
        <w:t>platforms. Open platforms</w:t>
      </w:r>
      <w:r w:rsidR="00A46FB0">
        <w:t xml:space="preserve"> allow developers to decouple partners from the platform’s business cycle </w:t>
      </w:r>
      <w:r w:rsidR="00D57FA3">
        <w:t>making their growth faster</w:t>
      </w:r>
      <w:r w:rsidR="00F95BB9">
        <w:t>,</w:t>
      </w:r>
      <w:r w:rsidR="00D57FA3">
        <w:t xml:space="preserve"> and therefore reaching a critical mass that leads them to market dominance in less time. This tendency is called low-friction innovation. In this context, in which apps are developed in a short time period and often with rather short lives, the traditional way of creating trust t</w:t>
      </w:r>
      <w:r w:rsidR="00F95BB9">
        <w:t>hrough a continued use has turned obsolete.</w:t>
      </w:r>
    </w:p>
    <w:p w14:paraId="41D2D8A4" w14:textId="67625758" w:rsidR="00F95BB9" w:rsidRDefault="00F95BB9" w:rsidP="0039164B">
      <w:r>
        <w:t xml:space="preserve">In order to cover this gap, new specifications like </w:t>
      </w:r>
      <w:r w:rsidR="004A1C9A">
        <w:t>O</w:t>
      </w:r>
      <w:r w:rsidR="00A032DC">
        <w:t>Auth</w:t>
      </w:r>
      <w:r>
        <w:t xml:space="preserve"> 2.0 have arisen as an alternative way of creating trust through the provision of access to information in the apps without the need for exposing the user credentials.</w:t>
      </w:r>
    </w:p>
    <w:p w14:paraId="79783460" w14:textId="77777777" w:rsidR="00F95BB9" w:rsidRDefault="00F95BB9" w:rsidP="0039164B">
      <w:r>
        <w:t>Between the various implementations of the TS that back this reasoning, the most remarkable ones are the following:</w:t>
      </w:r>
    </w:p>
    <w:p w14:paraId="5E3F1C70" w14:textId="572C22F4" w:rsidR="00F95BB9" w:rsidRDefault="00F95BB9" w:rsidP="00F376A1">
      <w:pPr>
        <w:pStyle w:val="Lijstalinea"/>
        <w:numPr>
          <w:ilvl w:val="0"/>
          <w:numId w:val="3"/>
        </w:numPr>
      </w:pPr>
      <w:proofErr w:type="spellStart"/>
      <w:r>
        <w:t>Linkedin</w:t>
      </w:r>
      <w:proofErr w:type="spellEnd"/>
      <w:r w:rsidR="00241733">
        <w:rPr>
          <w:rStyle w:val="Voetnootmarkering"/>
        </w:rPr>
        <w:footnoteReference w:id="13"/>
      </w:r>
    </w:p>
    <w:p w14:paraId="040E032D" w14:textId="77777777" w:rsidR="00241733" w:rsidRDefault="00241733" w:rsidP="00F376A1">
      <w:pPr>
        <w:pStyle w:val="Lijstalinea"/>
        <w:numPr>
          <w:ilvl w:val="0"/>
          <w:numId w:val="3"/>
        </w:numPr>
      </w:pPr>
      <w:r>
        <w:t>Facebook</w:t>
      </w:r>
      <w:r>
        <w:rPr>
          <w:rStyle w:val="Voetnootmarkering"/>
        </w:rPr>
        <w:footnoteReference w:id="14"/>
      </w:r>
    </w:p>
    <w:p w14:paraId="01A92826" w14:textId="289C7EA3" w:rsidR="00241733" w:rsidRDefault="00241733" w:rsidP="00F376A1">
      <w:pPr>
        <w:pStyle w:val="Lijstalinea"/>
        <w:numPr>
          <w:ilvl w:val="0"/>
          <w:numId w:val="3"/>
        </w:numPr>
      </w:pPr>
      <w:r>
        <w:t>Apple</w:t>
      </w:r>
      <w:r>
        <w:rPr>
          <w:rStyle w:val="Voetnootmarkering"/>
        </w:rPr>
        <w:footnoteReference w:id="15"/>
      </w:r>
    </w:p>
    <w:p w14:paraId="52C83873" w14:textId="7A81A626" w:rsidR="00241733" w:rsidRDefault="00241733" w:rsidP="00F376A1">
      <w:pPr>
        <w:pStyle w:val="Lijstalinea"/>
        <w:numPr>
          <w:ilvl w:val="0"/>
          <w:numId w:val="3"/>
        </w:numPr>
      </w:pPr>
      <w:r>
        <w:lastRenderedPageBreak/>
        <w:t>Google</w:t>
      </w:r>
      <w:r>
        <w:rPr>
          <w:rStyle w:val="Voetnootmarkering"/>
        </w:rPr>
        <w:footnoteReference w:id="16"/>
      </w:r>
    </w:p>
    <w:p w14:paraId="4E1E12D3" w14:textId="601853AC" w:rsidR="00241733" w:rsidRDefault="00241733" w:rsidP="00F376A1">
      <w:pPr>
        <w:pStyle w:val="Lijstalinea"/>
        <w:numPr>
          <w:ilvl w:val="0"/>
          <w:numId w:val="3"/>
        </w:numPr>
      </w:pPr>
      <w:r>
        <w:t>Amazon</w:t>
      </w:r>
      <w:r>
        <w:rPr>
          <w:rStyle w:val="Voetnootmarkering"/>
        </w:rPr>
        <w:footnoteReference w:id="17"/>
      </w:r>
    </w:p>
    <w:p w14:paraId="45861216" w14:textId="38226DAE" w:rsidR="00241733" w:rsidRDefault="00241733" w:rsidP="00F376A1">
      <w:pPr>
        <w:pStyle w:val="Lijstalinea"/>
        <w:numPr>
          <w:ilvl w:val="0"/>
          <w:numId w:val="3"/>
        </w:numPr>
      </w:pPr>
      <w:r>
        <w:t>Microsoft</w:t>
      </w:r>
      <w:r>
        <w:rPr>
          <w:rStyle w:val="Voetnootmarkering"/>
        </w:rPr>
        <w:footnoteReference w:id="18"/>
      </w:r>
    </w:p>
    <w:p w14:paraId="04C62067" w14:textId="4B0FD16B" w:rsidR="00355A07" w:rsidRDefault="009F4C2C" w:rsidP="006309C2">
      <w:pPr>
        <w:rPr>
          <w:rFonts w:cs="Arial"/>
          <w:szCs w:val="20"/>
        </w:rPr>
      </w:pPr>
      <w:r>
        <w:rPr>
          <w:rFonts w:cs="Arial"/>
          <w:szCs w:val="20"/>
        </w:rPr>
        <w:t xml:space="preserve">Interoperability in those implementations is largely accountable on the </w:t>
      </w:r>
      <w:r w:rsidR="004C39FD">
        <w:rPr>
          <w:rFonts w:cs="Arial"/>
          <w:szCs w:val="20"/>
        </w:rPr>
        <w:t xml:space="preserve">fact that </w:t>
      </w:r>
      <w:r w:rsidR="004A1C9A">
        <w:rPr>
          <w:rFonts w:cs="Arial"/>
          <w:szCs w:val="20"/>
        </w:rPr>
        <w:t>O</w:t>
      </w:r>
      <w:r w:rsidR="00A032DC">
        <w:rPr>
          <w:rFonts w:cs="Arial"/>
          <w:szCs w:val="20"/>
        </w:rPr>
        <w:t>Auth</w:t>
      </w:r>
      <w:r w:rsidR="004D48FD">
        <w:rPr>
          <w:rFonts w:cs="Arial"/>
          <w:szCs w:val="20"/>
        </w:rPr>
        <w:t xml:space="preserve"> 2.0</w:t>
      </w:r>
      <w:r w:rsidR="004C39FD">
        <w:rPr>
          <w:rFonts w:cs="Arial"/>
          <w:szCs w:val="20"/>
        </w:rPr>
        <w:t xml:space="preserve"> is interoperable with most technologie</w:t>
      </w:r>
      <w:r w:rsidR="00241733">
        <w:rPr>
          <w:rFonts w:cs="Arial"/>
          <w:szCs w:val="20"/>
        </w:rPr>
        <w:t xml:space="preserve">s. That said, due to </w:t>
      </w:r>
      <w:r w:rsidR="004A1C9A">
        <w:rPr>
          <w:rFonts w:cs="Arial"/>
          <w:szCs w:val="20"/>
        </w:rPr>
        <w:t>O</w:t>
      </w:r>
      <w:r w:rsidR="00A032DC">
        <w:rPr>
          <w:rFonts w:cs="Arial"/>
          <w:szCs w:val="20"/>
        </w:rPr>
        <w:t>Auth</w:t>
      </w:r>
      <w:r w:rsidR="00241733">
        <w:rPr>
          <w:rFonts w:cs="Arial"/>
          <w:szCs w:val="20"/>
        </w:rPr>
        <w:t xml:space="preserve"> 2.0 being highly extensible and therefore accepting many optional components, it could be the case that </w:t>
      </w:r>
      <w:r w:rsidR="00355A07">
        <w:rPr>
          <w:rFonts w:cs="Arial"/>
          <w:szCs w:val="20"/>
        </w:rPr>
        <w:t xml:space="preserve">an </w:t>
      </w:r>
      <w:r w:rsidR="004A1C9A">
        <w:rPr>
          <w:rFonts w:cs="Arial"/>
          <w:szCs w:val="20"/>
        </w:rPr>
        <w:t>O</w:t>
      </w:r>
      <w:r w:rsidR="00A032DC">
        <w:rPr>
          <w:rFonts w:cs="Arial"/>
          <w:szCs w:val="20"/>
        </w:rPr>
        <w:t>Auth</w:t>
      </w:r>
      <w:r w:rsidR="00355A07">
        <w:rPr>
          <w:rFonts w:cs="Arial"/>
          <w:szCs w:val="20"/>
        </w:rPr>
        <w:t xml:space="preserve"> 2.0 implementation was not interoperable with another </w:t>
      </w:r>
      <w:r w:rsidR="004A1C9A">
        <w:rPr>
          <w:rFonts w:cs="Arial"/>
          <w:szCs w:val="20"/>
        </w:rPr>
        <w:t>O</w:t>
      </w:r>
      <w:r w:rsidR="00A032DC">
        <w:rPr>
          <w:rFonts w:cs="Arial"/>
          <w:szCs w:val="20"/>
        </w:rPr>
        <w:t xml:space="preserve">Auth </w:t>
      </w:r>
      <w:r w:rsidR="00355A07">
        <w:rPr>
          <w:rFonts w:cs="Arial"/>
          <w:szCs w:val="20"/>
        </w:rPr>
        <w:t>2.0 implementation.</w:t>
      </w:r>
    </w:p>
    <w:p w14:paraId="551708A7" w14:textId="4DDB579E" w:rsidR="00B02856" w:rsidRDefault="00355A07" w:rsidP="006309C2">
      <w:pPr>
        <w:rPr>
          <w:rFonts w:cs="Arial"/>
          <w:szCs w:val="20"/>
        </w:rPr>
      </w:pPr>
      <w:r>
        <w:rPr>
          <w:rFonts w:cs="Arial"/>
          <w:szCs w:val="20"/>
        </w:rPr>
        <w:t>In order to prevent this and foster interoperability, additional agreements like application profiles can be reached.</w:t>
      </w:r>
    </w:p>
    <w:p w14:paraId="3A71EF07" w14:textId="1DC28A61" w:rsidR="003D07FD" w:rsidRPr="00DB1E12" w:rsidRDefault="003F3411">
      <w:pPr>
        <w:rPr>
          <w:b/>
          <w:sz w:val="28"/>
          <w:szCs w:val="32"/>
        </w:rPr>
      </w:pPr>
      <w:r>
        <w:rPr>
          <w:b/>
          <w:sz w:val="28"/>
          <w:szCs w:val="32"/>
        </w:rPr>
        <w:t xml:space="preserve">2.2 </w:t>
      </w:r>
      <w:r w:rsidR="003D07FD" w:rsidRPr="00DB1E12">
        <w:rPr>
          <w:b/>
          <w:sz w:val="28"/>
          <w:szCs w:val="32"/>
        </w:rPr>
        <w:t>Coherence with the formal European standard</w:t>
      </w:r>
      <w:r w:rsidR="00173247">
        <w:rPr>
          <w:b/>
          <w:sz w:val="28"/>
          <w:szCs w:val="32"/>
        </w:rPr>
        <w:t>isation</w:t>
      </w:r>
      <w:r w:rsidR="003D07FD" w:rsidRPr="00DB1E12">
        <w:rPr>
          <w:b/>
          <w:sz w:val="28"/>
          <w:szCs w:val="32"/>
        </w:rPr>
        <w:t xml:space="preserve"> environment</w:t>
      </w:r>
    </w:p>
    <w:p w14:paraId="62C1DAC6" w14:textId="77777777" w:rsidR="003D07FD" w:rsidRPr="009D3AE1" w:rsidRDefault="003D07FD" w:rsidP="003D07FD">
      <w:pPr>
        <w:ind w:left="709" w:hanging="709"/>
        <w:rPr>
          <w:i/>
          <w:sz w:val="24"/>
          <w:szCs w:val="24"/>
        </w:rPr>
      </w:pPr>
      <w:r w:rsidRPr="009D3AE1">
        <w:rPr>
          <w:i/>
          <w:sz w:val="24"/>
          <w:szCs w:val="24"/>
        </w:rPr>
        <w:t>2.2.1</w:t>
      </w:r>
      <w:r w:rsidRPr="009D3AE1">
        <w:rPr>
          <w:i/>
          <w:sz w:val="24"/>
          <w:szCs w:val="24"/>
        </w:rPr>
        <w:tab/>
        <w:t>The specification covers a domain where the adoption of a new European standard or standardisation deliverable is not foreseen within a reasonable period.</w:t>
      </w:r>
    </w:p>
    <w:p w14:paraId="17E28DD8" w14:textId="73778209" w:rsidR="003D07FD" w:rsidRPr="00DB1E12" w:rsidRDefault="004A1C9A" w:rsidP="003D07FD">
      <w:pPr>
        <w:rPr>
          <w:rFonts w:cs="Arial"/>
          <w:szCs w:val="20"/>
        </w:rPr>
      </w:pPr>
      <w:r w:rsidRPr="00F376A1">
        <w:rPr>
          <w:rFonts w:cs="Arial"/>
          <w:szCs w:val="20"/>
        </w:rPr>
        <w:t>OAUTH</w:t>
      </w:r>
      <w:r w:rsidR="004D48FD" w:rsidRPr="00F376A1">
        <w:rPr>
          <w:rFonts w:cs="Arial"/>
          <w:szCs w:val="20"/>
        </w:rPr>
        <w:t xml:space="preserve"> 2.0</w:t>
      </w:r>
      <w:r w:rsidR="00146D3C" w:rsidRPr="00F376A1">
        <w:rPr>
          <w:rFonts w:cs="Arial"/>
          <w:szCs w:val="20"/>
        </w:rPr>
        <w:t xml:space="preserve"> cover</w:t>
      </w:r>
      <w:r w:rsidR="004F436B" w:rsidRPr="00F376A1">
        <w:rPr>
          <w:rFonts w:cs="Arial"/>
          <w:szCs w:val="20"/>
        </w:rPr>
        <w:t>s an area</w:t>
      </w:r>
      <w:r w:rsidR="00146D3C" w:rsidRPr="00F376A1">
        <w:rPr>
          <w:rFonts w:cs="Arial"/>
          <w:szCs w:val="20"/>
        </w:rPr>
        <w:t xml:space="preserve">, which </w:t>
      </w:r>
      <w:r w:rsidR="004F436B" w:rsidRPr="00F376A1">
        <w:rPr>
          <w:rFonts w:cs="Arial"/>
          <w:szCs w:val="20"/>
        </w:rPr>
        <w:t>is</w:t>
      </w:r>
      <w:r w:rsidR="00834BFA" w:rsidRPr="00F376A1">
        <w:rPr>
          <w:rFonts w:cs="Arial"/>
          <w:szCs w:val="20"/>
        </w:rPr>
        <w:t xml:space="preserve"> the</w:t>
      </w:r>
      <w:r w:rsidR="00146D3C" w:rsidRPr="00F376A1">
        <w:rPr>
          <w:rFonts w:cs="Arial"/>
          <w:szCs w:val="20"/>
        </w:rPr>
        <w:t xml:space="preserve"> </w:t>
      </w:r>
      <w:r w:rsidR="00834BFA" w:rsidRPr="00F376A1">
        <w:rPr>
          <w:rFonts w:cs="Arial"/>
          <w:szCs w:val="20"/>
        </w:rPr>
        <w:t xml:space="preserve">provision </w:t>
      </w:r>
      <w:r w:rsidR="0007069B" w:rsidRPr="00F376A1">
        <w:t>of specific authorization flows for web applications, desktop applications, mobile phones, and living room devices</w:t>
      </w:r>
      <w:r w:rsidR="0007069B" w:rsidRPr="00F376A1">
        <w:rPr>
          <w:rFonts w:cs="Arial"/>
          <w:szCs w:val="20"/>
        </w:rPr>
        <w:t>;</w:t>
      </w:r>
      <w:r w:rsidR="00834BFA" w:rsidRPr="00F376A1">
        <w:rPr>
          <w:rFonts w:cs="Arial"/>
          <w:szCs w:val="20"/>
        </w:rPr>
        <w:t xml:space="preserve"> that</w:t>
      </w:r>
      <w:r w:rsidR="00146D3C" w:rsidRPr="00F376A1">
        <w:rPr>
          <w:rFonts w:cs="Arial"/>
          <w:szCs w:val="20"/>
        </w:rPr>
        <w:t xml:space="preserve"> </w:t>
      </w:r>
      <w:r w:rsidR="004F436B" w:rsidRPr="00F376A1">
        <w:rPr>
          <w:rFonts w:cs="Arial"/>
          <w:szCs w:val="20"/>
        </w:rPr>
        <w:t>is</w:t>
      </w:r>
      <w:r w:rsidR="00146D3C" w:rsidRPr="00F376A1">
        <w:rPr>
          <w:rFonts w:cs="Arial"/>
          <w:szCs w:val="20"/>
        </w:rPr>
        <w:t xml:space="preserve"> actually not covered by any other technical specification being under consideration to become a European standard. This</w:t>
      </w:r>
      <w:r w:rsidR="00146D3C">
        <w:rPr>
          <w:rFonts w:cs="Arial"/>
          <w:szCs w:val="20"/>
        </w:rPr>
        <w:t xml:space="preserve"> conclusion has been withdrawn from the examination of</w:t>
      </w:r>
      <w:r w:rsidR="00677B7F">
        <w:rPr>
          <w:rFonts w:cs="Arial"/>
          <w:szCs w:val="20"/>
        </w:rPr>
        <w:t xml:space="preserve"> </w:t>
      </w:r>
      <w:r w:rsidR="008D76A4">
        <w:rPr>
          <w:rFonts w:cs="Arial"/>
          <w:szCs w:val="20"/>
        </w:rPr>
        <w:t>all the</w:t>
      </w:r>
      <w:r w:rsidR="00677B7F" w:rsidRPr="00D219AF">
        <w:rPr>
          <w:rFonts w:cs="Arial"/>
          <w:szCs w:val="20"/>
        </w:rPr>
        <w:t xml:space="preserve"> programming mandate</w:t>
      </w:r>
      <w:r w:rsidR="00246CE2">
        <w:rPr>
          <w:rFonts w:cs="Arial"/>
          <w:szCs w:val="20"/>
        </w:rPr>
        <w:t>s</w:t>
      </w:r>
      <w:r w:rsidR="00677B7F" w:rsidRPr="00D219AF">
        <w:rPr>
          <w:rFonts w:cs="Arial"/>
          <w:szCs w:val="20"/>
        </w:rPr>
        <w:t xml:space="preserve"> addressed to </w:t>
      </w:r>
      <w:r w:rsidR="00677B7F">
        <w:rPr>
          <w:rFonts w:cs="Arial"/>
          <w:szCs w:val="20"/>
        </w:rPr>
        <w:t>CEN, CENELEC and ETSI</w:t>
      </w:r>
      <w:r w:rsidR="00677B7F" w:rsidRPr="00D219AF">
        <w:rPr>
          <w:rFonts w:cs="Arial"/>
          <w:szCs w:val="20"/>
        </w:rPr>
        <w:t xml:space="preserve"> to </w:t>
      </w:r>
      <w:r w:rsidR="008D76A4">
        <w:rPr>
          <w:rFonts w:cs="Arial"/>
          <w:szCs w:val="20"/>
        </w:rPr>
        <w:t>the date</w:t>
      </w:r>
      <w:r w:rsidR="00677B7F" w:rsidRPr="004D48FD">
        <w:rPr>
          <w:rFonts w:cs="Arial"/>
          <w:szCs w:val="20"/>
        </w:rPr>
        <w:t xml:space="preserve">, </w:t>
      </w:r>
      <w:r w:rsidR="00084C86">
        <w:rPr>
          <w:rFonts w:cs="Arial"/>
          <w:szCs w:val="20"/>
        </w:rPr>
        <w:t>CEN’s webpage</w:t>
      </w:r>
      <w:r w:rsidR="00084C86">
        <w:rPr>
          <w:rStyle w:val="Voetnootmarkering"/>
          <w:rFonts w:cs="Arial"/>
          <w:szCs w:val="20"/>
        </w:rPr>
        <w:footnoteReference w:id="19"/>
      </w:r>
      <w:r w:rsidR="00084C86">
        <w:rPr>
          <w:rFonts w:cs="Arial"/>
          <w:szCs w:val="20"/>
        </w:rPr>
        <w:t>, CENELEC’s webpage</w:t>
      </w:r>
      <w:r w:rsidR="00084C86">
        <w:rPr>
          <w:rStyle w:val="Voetnootmarkering"/>
          <w:rFonts w:cs="Arial"/>
          <w:szCs w:val="20"/>
        </w:rPr>
        <w:footnoteReference w:id="20"/>
      </w:r>
      <w:r w:rsidR="00084C86">
        <w:rPr>
          <w:rFonts w:cs="Arial"/>
          <w:szCs w:val="20"/>
        </w:rPr>
        <w:t xml:space="preserve">, </w:t>
      </w:r>
      <w:r w:rsidR="00D219AF" w:rsidRPr="00DB1E12">
        <w:rPr>
          <w:rFonts w:cs="Arial"/>
          <w:szCs w:val="20"/>
        </w:rPr>
        <w:t>CEN-CENELEC</w:t>
      </w:r>
      <w:r w:rsidR="008D76A4">
        <w:rPr>
          <w:rFonts w:cs="Arial"/>
          <w:szCs w:val="20"/>
        </w:rPr>
        <w:t>’s</w:t>
      </w:r>
      <w:r w:rsidR="00D219AF" w:rsidRPr="00DB1E12">
        <w:rPr>
          <w:rFonts w:cs="Arial"/>
          <w:szCs w:val="20"/>
        </w:rPr>
        <w:t xml:space="preserve"> </w:t>
      </w:r>
      <w:r w:rsidR="00677B7F">
        <w:rPr>
          <w:rFonts w:cs="Arial"/>
          <w:szCs w:val="20"/>
        </w:rPr>
        <w:t>webpage</w:t>
      </w:r>
      <w:r w:rsidR="008D76A4">
        <w:rPr>
          <w:rFonts w:cs="Arial"/>
          <w:szCs w:val="20"/>
        </w:rPr>
        <w:t xml:space="preserve"> ICT section</w:t>
      </w:r>
      <w:r w:rsidR="00084C86">
        <w:rPr>
          <w:rStyle w:val="Voetnootmarkering"/>
          <w:rFonts w:cs="Arial"/>
          <w:szCs w:val="20"/>
        </w:rPr>
        <w:footnoteReference w:id="21"/>
      </w:r>
      <w:r w:rsidR="00677B7F">
        <w:rPr>
          <w:rFonts w:cs="Arial"/>
          <w:szCs w:val="20"/>
        </w:rPr>
        <w:t xml:space="preserve">, the </w:t>
      </w:r>
      <w:r w:rsidR="00F00AA7">
        <w:rPr>
          <w:rFonts w:cs="Arial"/>
          <w:szCs w:val="20"/>
        </w:rPr>
        <w:t>EC Information Providers Guide</w:t>
      </w:r>
      <w:r w:rsidR="00682914">
        <w:rPr>
          <w:rFonts w:cs="Arial"/>
          <w:szCs w:val="20"/>
        </w:rPr>
        <w:t>,</w:t>
      </w:r>
      <w:r w:rsidR="00246CE2">
        <w:rPr>
          <w:rFonts w:cs="Arial"/>
          <w:szCs w:val="20"/>
        </w:rPr>
        <w:t xml:space="preserve"> Directive</w:t>
      </w:r>
      <w:r w:rsidR="00246CE2" w:rsidRPr="004D48FD">
        <w:rPr>
          <w:rFonts w:cs="Arial"/>
          <w:szCs w:val="20"/>
        </w:rPr>
        <w:t xml:space="preserve"> (EU) 2016/2102 </w:t>
      </w:r>
      <w:r w:rsidR="00246CE2">
        <w:rPr>
          <w:rFonts w:cs="Arial"/>
          <w:szCs w:val="20"/>
        </w:rPr>
        <w:t>of the European Parliament and of the Council</w:t>
      </w:r>
      <w:r w:rsidR="00246CE2" w:rsidRPr="004D48FD">
        <w:rPr>
          <w:rFonts w:cs="Arial"/>
          <w:szCs w:val="20"/>
        </w:rPr>
        <w:t xml:space="preserve"> of 26 October 2016 on the accessibility of the websites and mobile applications of public sector bodies</w:t>
      </w:r>
      <w:r w:rsidR="00246CE2">
        <w:rPr>
          <w:rStyle w:val="Voetnootmarkering"/>
          <w:rFonts w:cs="Arial"/>
          <w:szCs w:val="20"/>
        </w:rPr>
        <w:footnoteReference w:id="22"/>
      </w:r>
      <w:r w:rsidR="00682914">
        <w:rPr>
          <w:rFonts w:cs="Arial"/>
          <w:szCs w:val="20"/>
        </w:rPr>
        <w:t xml:space="preserve">, the </w:t>
      </w:r>
      <w:r w:rsidR="003707F9">
        <w:rPr>
          <w:rFonts w:cs="Arial"/>
          <w:szCs w:val="20"/>
        </w:rPr>
        <w:t>s</w:t>
      </w:r>
      <w:r w:rsidR="003707F9" w:rsidRPr="00DB1E12">
        <w:rPr>
          <w:rFonts w:cs="Arial"/>
          <w:szCs w:val="20"/>
        </w:rPr>
        <w:t>tandards and tools for exchange and processing of actionable information inventory</w:t>
      </w:r>
      <w:r w:rsidR="00682914">
        <w:rPr>
          <w:rFonts w:cs="Arial"/>
          <w:szCs w:val="20"/>
        </w:rPr>
        <w:t xml:space="preserve"> of ENISA</w:t>
      </w:r>
      <w:r w:rsidR="003707F9">
        <w:rPr>
          <w:rStyle w:val="Voetnootmarkering"/>
          <w:rFonts w:cs="Arial"/>
          <w:szCs w:val="20"/>
        </w:rPr>
        <w:footnoteReference w:id="23"/>
      </w:r>
      <w:r w:rsidR="003707F9">
        <w:rPr>
          <w:rFonts w:cs="Arial"/>
          <w:szCs w:val="20"/>
        </w:rPr>
        <w:t xml:space="preserve"> and</w:t>
      </w:r>
      <w:r w:rsidR="00682914">
        <w:rPr>
          <w:rFonts w:cs="Arial"/>
          <w:szCs w:val="20"/>
        </w:rPr>
        <w:t xml:space="preserve"> the </w:t>
      </w:r>
      <w:r w:rsidR="009D5A8F">
        <w:rPr>
          <w:szCs w:val="20"/>
        </w:rPr>
        <w:t>ENISA Programming Document 2018-2020</w:t>
      </w:r>
      <w:r w:rsidR="009D5A8F">
        <w:rPr>
          <w:rStyle w:val="Voetnootmarkering"/>
          <w:szCs w:val="20"/>
        </w:rPr>
        <w:footnoteReference w:id="24"/>
      </w:r>
      <w:r w:rsidR="003707F9">
        <w:rPr>
          <w:rFonts w:cs="Arial"/>
          <w:szCs w:val="20"/>
        </w:rPr>
        <w:t>.</w:t>
      </w:r>
      <w:r w:rsidR="003D07FD" w:rsidRPr="00DB1E12">
        <w:rPr>
          <w:rFonts w:cs="Arial"/>
          <w:szCs w:val="20"/>
        </w:rPr>
        <w:t xml:space="preserve"> </w:t>
      </w:r>
    </w:p>
    <w:p w14:paraId="696857D4" w14:textId="46173FEB" w:rsidR="003D07FD" w:rsidRDefault="003D07FD" w:rsidP="003D07FD">
      <w:pPr>
        <w:ind w:left="709" w:hanging="709"/>
        <w:rPr>
          <w:i/>
          <w:sz w:val="24"/>
          <w:szCs w:val="24"/>
        </w:rPr>
      </w:pPr>
      <w:r w:rsidRPr="009D3AE1">
        <w:rPr>
          <w:i/>
          <w:sz w:val="24"/>
          <w:szCs w:val="24"/>
        </w:rPr>
        <w:t>2.2.2</w:t>
      </w:r>
      <w:r w:rsidRPr="009D3AE1">
        <w:rPr>
          <w:i/>
          <w:sz w:val="24"/>
          <w:szCs w:val="24"/>
        </w:rPr>
        <w:tab/>
        <w:t xml:space="preserve">The current scope of the formal European </w:t>
      </w:r>
      <w:r w:rsidR="00017B1E" w:rsidRPr="009D3AE1">
        <w:rPr>
          <w:i/>
          <w:sz w:val="24"/>
          <w:szCs w:val="24"/>
        </w:rPr>
        <w:t>standard</w:t>
      </w:r>
      <w:r w:rsidR="00173247">
        <w:rPr>
          <w:i/>
          <w:sz w:val="24"/>
          <w:szCs w:val="24"/>
        </w:rPr>
        <w:t>isation</w:t>
      </w:r>
      <w:r w:rsidRPr="009D3AE1">
        <w:rPr>
          <w:i/>
          <w:sz w:val="24"/>
          <w:szCs w:val="24"/>
        </w:rPr>
        <w:t xml:space="preserve"> </w:t>
      </w:r>
      <w:r w:rsidR="00017B1E" w:rsidRPr="009D3AE1">
        <w:rPr>
          <w:i/>
          <w:sz w:val="24"/>
          <w:szCs w:val="24"/>
        </w:rPr>
        <w:t>organ</w:t>
      </w:r>
      <w:r w:rsidR="00173247">
        <w:rPr>
          <w:i/>
          <w:sz w:val="24"/>
          <w:szCs w:val="24"/>
        </w:rPr>
        <w:t>isation</w:t>
      </w:r>
      <w:r w:rsidR="00017B1E" w:rsidRPr="009D3AE1">
        <w:rPr>
          <w:i/>
          <w:sz w:val="24"/>
          <w:szCs w:val="24"/>
        </w:rPr>
        <w:t>s</w:t>
      </w:r>
      <w:r w:rsidRPr="009D3AE1">
        <w:rPr>
          <w:i/>
          <w:sz w:val="24"/>
          <w:szCs w:val="24"/>
        </w:rPr>
        <w:t xml:space="preserve"> does not cover any similar domain</w:t>
      </w:r>
    </w:p>
    <w:p w14:paraId="10862731" w14:textId="0FCFFB10" w:rsidR="00D75BC6" w:rsidRDefault="009D5A8F" w:rsidP="00DD0178">
      <w:pPr>
        <w:rPr>
          <w:szCs w:val="24"/>
        </w:rPr>
      </w:pPr>
      <w:r>
        <w:rPr>
          <w:szCs w:val="24"/>
        </w:rPr>
        <w:t>N</w:t>
      </w:r>
      <w:r w:rsidR="00A529F7">
        <w:rPr>
          <w:szCs w:val="24"/>
        </w:rPr>
        <w:t xml:space="preserve">o overlap </w:t>
      </w:r>
      <w:r w:rsidR="00D75BC6">
        <w:rPr>
          <w:szCs w:val="24"/>
        </w:rPr>
        <w:t>has been detected with European standardisation organisations</w:t>
      </w:r>
      <w:r w:rsidR="00A529F7">
        <w:rPr>
          <w:szCs w:val="24"/>
        </w:rPr>
        <w:t xml:space="preserve"> activities</w:t>
      </w:r>
      <w:r>
        <w:rPr>
          <w:szCs w:val="24"/>
        </w:rPr>
        <w:t xml:space="preserve"> at EU level</w:t>
      </w:r>
      <w:r w:rsidR="00D75BC6">
        <w:rPr>
          <w:szCs w:val="24"/>
        </w:rPr>
        <w:t>.</w:t>
      </w:r>
    </w:p>
    <w:p w14:paraId="7B2BB5E4" w14:textId="221924BA" w:rsidR="007C2FC3" w:rsidRPr="00DD0178" w:rsidRDefault="00920FC4" w:rsidP="00DD0178">
      <w:pPr>
        <w:rPr>
          <w:rFonts w:cs="Arial"/>
          <w:sz w:val="24"/>
          <w:szCs w:val="24"/>
        </w:rPr>
      </w:pPr>
      <w:r>
        <w:rPr>
          <w:szCs w:val="24"/>
        </w:rPr>
        <w:lastRenderedPageBreak/>
        <w:t>This conclusion is based on the work programme</w:t>
      </w:r>
      <w:r w:rsidR="00084C86">
        <w:rPr>
          <w:szCs w:val="24"/>
        </w:rPr>
        <w:t>s</w:t>
      </w:r>
      <w:r>
        <w:rPr>
          <w:szCs w:val="24"/>
        </w:rPr>
        <w:t xml:space="preserve"> of CEN</w:t>
      </w:r>
      <w:r w:rsidR="00084C86">
        <w:rPr>
          <w:szCs w:val="24"/>
        </w:rPr>
        <w:t xml:space="preserve"> and CENELEC</w:t>
      </w:r>
      <w:r w:rsidR="009D5A8F">
        <w:rPr>
          <w:rStyle w:val="Voetnootmarkering"/>
          <w:szCs w:val="24"/>
        </w:rPr>
        <w:footnoteReference w:id="25"/>
      </w:r>
      <w:r w:rsidR="00084C86">
        <w:rPr>
          <w:szCs w:val="24"/>
        </w:rPr>
        <w:t>,</w:t>
      </w:r>
      <w:r>
        <w:rPr>
          <w:szCs w:val="24"/>
        </w:rPr>
        <w:t xml:space="preserve"> and ETSI</w:t>
      </w:r>
      <w:r w:rsidR="00781C47">
        <w:rPr>
          <w:rStyle w:val="Voetnootmarkering"/>
          <w:szCs w:val="24"/>
        </w:rPr>
        <w:footnoteReference w:id="26"/>
      </w:r>
      <w:r>
        <w:rPr>
          <w:szCs w:val="24"/>
        </w:rPr>
        <w:t xml:space="preserve"> as published on their </w:t>
      </w:r>
      <w:r w:rsidR="009D5A8F">
        <w:rPr>
          <w:szCs w:val="24"/>
        </w:rPr>
        <w:t xml:space="preserve">respective </w:t>
      </w:r>
      <w:r>
        <w:rPr>
          <w:szCs w:val="24"/>
        </w:rPr>
        <w:t>website</w:t>
      </w:r>
      <w:r w:rsidR="009D5A8F">
        <w:rPr>
          <w:szCs w:val="24"/>
        </w:rPr>
        <w:t>s</w:t>
      </w:r>
      <w:r>
        <w:rPr>
          <w:szCs w:val="24"/>
        </w:rPr>
        <w:t xml:space="preserve">, and on the ENISA </w:t>
      </w:r>
      <w:r w:rsidR="009D5A8F">
        <w:rPr>
          <w:szCs w:val="20"/>
        </w:rPr>
        <w:t>Programming Document 2018-2020</w:t>
      </w:r>
      <w:r w:rsidR="009D5A8F">
        <w:rPr>
          <w:rStyle w:val="Voetnootmarkering"/>
          <w:szCs w:val="20"/>
        </w:rPr>
        <w:footnoteReference w:id="27"/>
      </w:r>
      <w:r>
        <w:rPr>
          <w:szCs w:val="20"/>
        </w:rPr>
        <w:t>.</w:t>
      </w:r>
    </w:p>
    <w:p w14:paraId="53E93413" w14:textId="6A989DBB" w:rsidR="003D07FD" w:rsidRDefault="003D07FD">
      <w:pPr>
        <w:ind w:left="709" w:hanging="709"/>
        <w:rPr>
          <w:i/>
          <w:sz w:val="24"/>
          <w:szCs w:val="24"/>
        </w:rPr>
      </w:pPr>
      <w:r w:rsidRPr="00017B1E">
        <w:rPr>
          <w:i/>
          <w:sz w:val="24"/>
          <w:szCs w:val="24"/>
        </w:rPr>
        <w:t>2.2.3</w:t>
      </w:r>
      <w:r w:rsidRPr="00017B1E">
        <w:rPr>
          <w:i/>
          <w:sz w:val="24"/>
          <w:szCs w:val="24"/>
        </w:rPr>
        <w:tab/>
        <w:t xml:space="preserve">Transposition of the proposed ICT technical specification into a European standard or </w:t>
      </w:r>
      <w:r w:rsidR="00017B1E" w:rsidRPr="00DD0178">
        <w:rPr>
          <w:rFonts w:cs="Arial"/>
          <w:i/>
          <w:sz w:val="24"/>
          <w:szCs w:val="24"/>
        </w:rPr>
        <w:t>standard</w:t>
      </w:r>
      <w:r w:rsidR="00173247" w:rsidRPr="00DD0178">
        <w:rPr>
          <w:rFonts w:cs="Arial"/>
          <w:i/>
          <w:sz w:val="24"/>
          <w:szCs w:val="24"/>
        </w:rPr>
        <w:t>isation</w:t>
      </w:r>
      <w:r w:rsidRPr="00017B1E">
        <w:rPr>
          <w:i/>
          <w:sz w:val="24"/>
          <w:szCs w:val="24"/>
        </w:rPr>
        <w:t xml:space="preserve"> deliverable is not foreseen within a reasonable period.</w:t>
      </w:r>
    </w:p>
    <w:p w14:paraId="038CBD3F" w14:textId="33B50468" w:rsidR="007C2FC3" w:rsidRDefault="00920FC4" w:rsidP="00DB1E12">
      <w:pPr>
        <w:rPr>
          <w:rFonts w:cs="Arial"/>
          <w:szCs w:val="20"/>
        </w:rPr>
      </w:pPr>
      <w:r>
        <w:rPr>
          <w:rFonts w:cs="Arial"/>
          <w:szCs w:val="20"/>
        </w:rPr>
        <w:t>H</w:t>
      </w:r>
      <w:r w:rsidR="00017B1E" w:rsidRPr="00526A22">
        <w:rPr>
          <w:rFonts w:cs="Arial"/>
          <w:szCs w:val="20"/>
        </w:rPr>
        <w:t>aving checked</w:t>
      </w:r>
      <w:r w:rsidR="00017B1E">
        <w:rPr>
          <w:rFonts w:cs="Arial"/>
          <w:szCs w:val="20"/>
        </w:rPr>
        <w:t xml:space="preserve"> the documentation included in point 2.1.1 we </w:t>
      </w:r>
      <w:r w:rsidR="00C829FE">
        <w:rPr>
          <w:rFonts w:cs="Arial"/>
          <w:szCs w:val="20"/>
        </w:rPr>
        <w:t xml:space="preserve">have gotten to the conclusion of that </w:t>
      </w:r>
      <w:r w:rsidR="004A1C9A">
        <w:rPr>
          <w:rFonts w:cs="Arial"/>
          <w:szCs w:val="20"/>
        </w:rPr>
        <w:t>O</w:t>
      </w:r>
      <w:r w:rsidR="00A032DC">
        <w:rPr>
          <w:rFonts w:cs="Arial"/>
          <w:szCs w:val="20"/>
        </w:rPr>
        <w:t>Auth</w:t>
      </w:r>
      <w:r w:rsidR="004D48FD">
        <w:rPr>
          <w:rFonts w:cs="Arial"/>
          <w:szCs w:val="20"/>
        </w:rPr>
        <w:t xml:space="preserve"> 2.0</w:t>
      </w:r>
      <w:r w:rsidR="005752D4">
        <w:rPr>
          <w:rFonts w:cs="Arial"/>
          <w:szCs w:val="20"/>
        </w:rPr>
        <w:t xml:space="preserve"> is</w:t>
      </w:r>
      <w:r w:rsidR="00C829FE">
        <w:rPr>
          <w:rFonts w:cs="Arial"/>
          <w:szCs w:val="20"/>
        </w:rPr>
        <w:t xml:space="preserve"> not foreseen to be transposed into </w:t>
      </w:r>
      <w:r w:rsidR="005752D4">
        <w:rPr>
          <w:rFonts w:cs="Arial"/>
          <w:szCs w:val="20"/>
        </w:rPr>
        <w:t xml:space="preserve">a </w:t>
      </w:r>
      <w:r w:rsidR="00C829FE">
        <w:rPr>
          <w:rFonts w:cs="Arial"/>
          <w:szCs w:val="20"/>
        </w:rPr>
        <w:t>European standard within a reasonable time period.</w:t>
      </w:r>
    </w:p>
    <w:p w14:paraId="4EE24143" w14:textId="5E38CDC3" w:rsidR="007C2FC3" w:rsidRDefault="007C2FC3" w:rsidP="007C2FC3">
      <w:pPr>
        <w:ind w:left="709" w:hanging="709"/>
        <w:rPr>
          <w:i/>
          <w:sz w:val="24"/>
          <w:szCs w:val="24"/>
        </w:rPr>
      </w:pPr>
      <w:r w:rsidRPr="00017B1E">
        <w:rPr>
          <w:i/>
          <w:sz w:val="24"/>
          <w:szCs w:val="24"/>
        </w:rPr>
        <w:t>2.2.</w:t>
      </w:r>
      <w:r>
        <w:rPr>
          <w:i/>
          <w:sz w:val="24"/>
          <w:szCs w:val="24"/>
        </w:rPr>
        <w:t>4</w:t>
      </w:r>
      <w:r w:rsidRPr="00017B1E">
        <w:rPr>
          <w:i/>
          <w:sz w:val="24"/>
          <w:szCs w:val="24"/>
        </w:rPr>
        <w:tab/>
      </w:r>
      <w:r>
        <w:rPr>
          <w:i/>
          <w:sz w:val="24"/>
          <w:szCs w:val="24"/>
        </w:rPr>
        <w:t>For information, related initiatives</w:t>
      </w:r>
    </w:p>
    <w:p w14:paraId="1C2C25EB" w14:textId="1AFD2376" w:rsidR="007C2FC3" w:rsidRPr="00DD0178" w:rsidRDefault="005E016E" w:rsidP="00DD0178">
      <w:pPr>
        <w:rPr>
          <w:szCs w:val="24"/>
        </w:rPr>
      </w:pPr>
      <w:r>
        <w:rPr>
          <w:szCs w:val="24"/>
        </w:rPr>
        <w:t>No other related initiatives have been found.</w:t>
      </w:r>
    </w:p>
    <w:p w14:paraId="12901D7E" w14:textId="59EDE2FB" w:rsidR="00860D1D" w:rsidRPr="00812E2A" w:rsidRDefault="00573248" w:rsidP="00F376A1">
      <w:pPr>
        <w:pStyle w:val="Kop1"/>
      </w:pPr>
      <w:r w:rsidRPr="00812E2A">
        <w:t xml:space="preserve">3. </w:t>
      </w:r>
      <w:r w:rsidR="00860D1D" w:rsidRPr="00812E2A">
        <w:t>Evaluation of compliance with the attributes</w:t>
      </w:r>
    </w:p>
    <w:p w14:paraId="3DC81D0D" w14:textId="321EEC80" w:rsidR="00860D1D" w:rsidRPr="009D3AE1" w:rsidRDefault="00860D1D" w:rsidP="00860D1D">
      <w:r w:rsidRPr="009D3AE1">
        <w:rPr>
          <w:b/>
          <w:sz w:val="28"/>
          <w:szCs w:val="32"/>
        </w:rPr>
        <w:t>3.1 The organisation developing the specification</w:t>
      </w:r>
      <w:r w:rsidR="00360220">
        <w:rPr>
          <w:rStyle w:val="Voetnootmarkering"/>
          <w:b/>
          <w:sz w:val="28"/>
          <w:szCs w:val="32"/>
        </w:rPr>
        <w:footnoteReference w:id="28"/>
      </w:r>
    </w:p>
    <w:p w14:paraId="512E9811" w14:textId="11053191" w:rsidR="00770E48" w:rsidRDefault="00770E48" w:rsidP="00770E48">
      <w:pPr>
        <w:rPr>
          <w:rFonts w:cs="Arial"/>
          <w:szCs w:val="20"/>
        </w:rPr>
      </w:pPr>
      <w:r>
        <w:rPr>
          <w:rFonts w:cs="Arial"/>
          <w:szCs w:val="20"/>
        </w:rPr>
        <w:t>IETF is an</w:t>
      </w:r>
      <w:r w:rsidRPr="005E54FC">
        <w:rPr>
          <w:rFonts w:cs="Arial"/>
          <w:szCs w:val="20"/>
        </w:rPr>
        <w:t xml:space="preserve"> unincorporat</w:t>
      </w:r>
      <w:r>
        <w:rPr>
          <w:rFonts w:cs="Arial"/>
          <w:szCs w:val="20"/>
        </w:rPr>
        <w:t>ed, freestanding organizatio</w:t>
      </w:r>
      <w:r w:rsidR="008E4226">
        <w:rPr>
          <w:rFonts w:cs="Arial"/>
          <w:szCs w:val="20"/>
        </w:rPr>
        <w:t>n constituted by an open and international community of members from a wide variety of backgrounds. Its aim is the development of standards to help the correct functioning of the Internet.</w:t>
      </w:r>
    </w:p>
    <w:p w14:paraId="45E339C9" w14:textId="77777777" w:rsidR="008F78D5" w:rsidRDefault="008F78D5" w:rsidP="008F78D5">
      <w:pPr>
        <w:rPr>
          <w:b/>
          <w:sz w:val="28"/>
          <w:szCs w:val="32"/>
        </w:rPr>
      </w:pPr>
      <w:r w:rsidRPr="009D3AE1">
        <w:rPr>
          <w:b/>
          <w:sz w:val="28"/>
          <w:szCs w:val="32"/>
        </w:rPr>
        <w:t xml:space="preserve">3.2 </w:t>
      </w:r>
      <w:r w:rsidRPr="00F376A1">
        <w:rPr>
          <w:rStyle w:val="Kop2Char"/>
        </w:rPr>
        <w:t>The development process</w:t>
      </w:r>
    </w:p>
    <w:p w14:paraId="0D8E943A" w14:textId="2AADC3FD" w:rsidR="00F77BAB" w:rsidRPr="009D3AE1" w:rsidRDefault="00F77BAB" w:rsidP="008F78D5">
      <w:r>
        <w:t xml:space="preserve">Despite </w:t>
      </w:r>
      <w:r w:rsidR="004A1C9A">
        <w:t>OAUTH</w:t>
      </w:r>
      <w:r>
        <w:t xml:space="preserve"> being originally developed by Google, </w:t>
      </w:r>
      <w:r w:rsidR="004A1C9A">
        <w:t>O</w:t>
      </w:r>
      <w:r w:rsidR="00A032DC">
        <w:t>Auth</w:t>
      </w:r>
      <w:r>
        <w:t xml:space="preserve"> 2.0 is a specifica</w:t>
      </w:r>
      <w:r w:rsidR="00431D2A">
        <w:t>tion maintained by the IETF, and the</w:t>
      </w:r>
      <w:r>
        <w:t xml:space="preserve"> IETF has </w:t>
      </w:r>
      <w:r w:rsidR="00431D2A">
        <w:t>a defined process for the development of standards</w:t>
      </w:r>
      <w:r w:rsidR="00431D2A">
        <w:rPr>
          <w:rStyle w:val="Voetnootmarkering"/>
        </w:rPr>
        <w:footnoteReference w:id="29"/>
      </w:r>
      <w:r w:rsidR="00431D2A">
        <w:t xml:space="preserve">. This process is based on a development </w:t>
      </w:r>
      <w:r w:rsidR="00AD5DD9">
        <w:t>stage</w:t>
      </w:r>
      <w:r w:rsidR="00431D2A">
        <w:t xml:space="preserve"> followed by a set of iterations carried out on the basis of the reviews made by the SDOs</w:t>
      </w:r>
      <w:r w:rsidR="00AD5DD9">
        <w:t>’</w:t>
      </w:r>
      <w:r w:rsidR="00431D2A">
        <w:t xml:space="preserve"> community.</w:t>
      </w:r>
    </w:p>
    <w:p w14:paraId="02D17A31" w14:textId="77777777" w:rsidR="008F78D5" w:rsidRDefault="008F78D5" w:rsidP="008F78D5">
      <w:pPr>
        <w:numPr>
          <w:ilvl w:val="0"/>
          <w:numId w:val="13"/>
        </w:numPr>
        <w:suppressAutoHyphens/>
        <w:spacing w:after="200" w:line="276" w:lineRule="auto"/>
        <w:ind w:left="426"/>
        <w:rPr>
          <w:b/>
          <w:sz w:val="24"/>
          <w:szCs w:val="24"/>
        </w:rPr>
      </w:pPr>
      <w:r w:rsidRPr="009D3AE1">
        <w:rPr>
          <w:b/>
          <w:sz w:val="24"/>
          <w:szCs w:val="24"/>
        </w:rPr>
        <w:t>Openness</w:t>
      </w:r>
    </w:p>
    <w:p w14:paraId="01B3D73E" w14:textId="42E90830" w:rsidR="00AD5DD9" w:rsidRDefault="00AD5DD9" w:rsidP="00F376A1">
      <w:r>
        <w:t>The IETF development process is open for participation, what can be deducted from the fact that it provides a large number of opportunities for participation to all interested parties. At each stage of the development process the specification is exposed to open discussion and its characteristics are debated in open meetings and/or public electronic mailing lists. In addition, the specifications are made available for review via world-wide online directories. These facts are detailed in section 1.2 of the I</w:t>
      </w:r>
      <w:r w:rsidR="007647F4">
        <w:t>E</w:t>
      </w:r>
      <w:r>
        <w:t>TF development process</w:t>
      </w:r>
      <w:r>
        <w:rPr>
          <w:rStyle w:val="Voetnootmarkering"/>
        </w:rPr>
        <w:footnoteReference w:id="30"/>
      </w:r>
      <w:r w:rsidR="00D04F1C">
        <w:t>.</w:t>
      </w:r>
    </w:p>
    <w:p w14:paraId="2DE152DC" w14:textId="6C41AFAF" w:rsidR="00D04F1C" w:rsidRDefault="00D04F1C" w:rsidP="00F376A1">
      <w:r>
        <w:lastRenderedPageBreak/>
        <w:t xml:space="preserve">In addition, the IETF publishes the information collected by the different working groups that develop the specifications in the shape of Requests for Comments (RFCs) </w:t>
      </w:r>
      <w:r w:rsidR="00C1150F">
        <w:t>in a repository</w:t>
      </w:r>
      <w:r w:rsidR="00C1150F">
        <w:rPr>
          <w:rStyle w:val="Voetnootmarkering"/>
        </w:rPr>
        <w:footnoteReference w:id="31"/>
      </w:r>
      <w:r w:rsidR="00C1150F">
        <w:t>.</w:t>
      </w:r>
    </w:p>
    <w:p w14:paraId="53ACFD51" w14:textId="77777777" w:rsidR="00AD5DD9" w:rsidRDefault="008F78D5" w:rsidP="008F78D5">
      <w:pPr>
        <w:numPr>
          <w:ilvl w:val="0"/>
          <w:numId w:val="13"/>
        </w:numPr>
        <w:suppressAutoHyphens/>
        <w:spacing w:after="200" w:line="276" w:lineRule="auto"/>
        <w:ind w:left="426"/>
        <w:rPr>
          <w:b/>
          <w:sz w:val="24"/>
          <w:szCs w:val="24"/>
        </w:rPr>
      </w:pPr>
      <w:r w:rsidRPr="009D3AE1">
        <w:rPr>
          <w:b/>
          <w:sz w:val="24"/>
          <w:szCs w:val="24"/>
        </w:rPr>
        <w:t>Consensus</w:t>
      </w:r>
    </w:p>
    <w:p w14:paraId="4E94DE14" w14:textId="00EBDEFA" w:rsidR="008F78D5" w:rsidRPr="009D3AE1" w:rsidRDefault="00AD5DD9" w:rsidP="00F376A1">
      <w:r>
        <w:t>The IETF sets a series of conditions for the adoption</w:t>
      </w:r>
      <w:r w:rsidR="00812E2A">
        <w:t xml:space="preserve"> of a specification</w:t>
      </w:r>
      <w:r>
        <w:t xml:space="preserve"> as Internet Standard through its development process</w:t>
      </w:r>
      <w:r w:rsidR="00812E2A">
        <w:t>. These</w:t>
      </w:r>
      <w:r>
        <w:t xml:space="preserve"> conditions explicitly state that for a specification to be recognised it has to answer to generally-accepted practices</w:t>
      </w:r>
      <w:r w:rsidR="00812E2A">
        <w:t>. This means that the candidate specification must be implemented and tested to check its correct operation and interoperability by multiple independent users</w:t>
      </w:r>
      <w:r w:rsidR="001C4D3A">
        <w:t>;</w:t>
      </w:r>
      <w:r w:rsidR="00812E2A">
        <w:t xml:space="preserve"> and used in increasingly</w:t>
      </w:r>
      <w:r w:rsidR="001C4D3A">
        <w:t>-</w:t>
      </w:r>
      <w:r w:rsidR="00812E2A">
        <w:t>demanding environments. These facts are detailed in section 1.2 of the I</w:t>
      </w:r>
      <w:r w:rsidR="007647F4">
        <w:t>E</w:t>
      </w:r>
      <w:r w:rsidR="00812E2A">
        <w:t>TF development process</w:t>
      </w:r>
      <w:r w:rsidR="00812E2A">
        <w:rPr>
          <w:rStyle w:val="Voetnootmarkering"/>
        </w:rPr>
        <w:footnoteReference w:id="32"/>
      </w:r>
      <w:r w:rsidR="00812E2A">
        <w:t>.</w:t>
      </w:r>
    </w:p>
    <w:p w14:paraId="109CAA54" w14:textId="77777777" w:rsidR="00A427D5" w:rsidRDefault="008F78D5" w:rsidP="00FB0747">
      <w:pPr>
        <w:numPr>
          <w:ilvl w:val="0"/>
          <w:numId w:val="13"/>
        </w:numPr>
        <w:suppressAutoHyphens/>
        <w:spacing w:after="200" w:line="276" w:lineRule="auto"/>
        <w:ind w:left="426"/>
        <w:rPr>
          <w:b/>
          <w:sz w:val="24"/>
          <w:szCs w:val="24"/>
        </w:rPr>
      </w:pPr>
      <w:r w:rsidRPr="009D3AE1">
        <w:rPr>
          <w:b/>
          <w:sz w:val="24"/>
          <w:szCs w:val="24"/>
        </w:rPr>
        <w:t>Transparency</w:t>
      </w:r>
    </w:p>
    <w:p w14:paraId="150A230D" w14:textId="209091EE" w:rsidR="006918CE" w:rsidRDefault="00E40F74">
      <w:pPr>
        <w:rPr>
          <w:rFonts w:cs="Arial"/>
          <w:szCs w:val="20"/>
        </w:rPr>
      </w:pPr>
      <w:r>
        <w:rPr>
          <w:rFonts w:cs="Arial"/>
          <w:szCs w:val="20"/>
        </w:rPr>
        <w:t>All the IETF specifications are available free of charge via their website</w:t>
      </w:r>
      <w:r>
        <w:rPr>
          <w:rStyle w:val="Voetnootmarkering"/>
          <w:rFonts w:cs="Arial"/>
          <w:szCs w:val="20"/>
        </w:rPr>
        <w:footnoteReference w:id="33"/>
      </w:r>
      <w:r>
        <w:rPr>
          <w:rFonts w:cs="Arial"/>
          <w:szCs w:val="20"/>
        </w:rPr>
        <w:t xml:space="preserve">. In addition, the IETF </w:t>
      </w:r>
      <w:proofErr w:type="spellStart"/>
      <w:r>
        <w:rPr>
          <w:rFonts w:cs="Arial"/>
          <w:szCs w:val="20"/>
        </w:rPr>
        <w:t>Datatracker</w:t>
      </w:r>
      <w:proofErr w:type="spellEnd"/>
      <w:r>
        <w:rPr>
          <w:rStyle w:val="Voetnootmarkering"/>
          <w:rFonts w:cs="Arial"/>
          <w:szCs w:val="20"/>
        </w:rPr>
        <w:footnoteReference w:id="34"/>
      </w:r>
      <w:r>
        <w:rPr>
          <w:rFonts w:cs="Arial"/>
          <w:szCs w:val="20"/>
        </w:rPr>
        <w:t xml:space="preserve"> is a public database in which the work for the development of the specifications is documented and accessible by any interested party. It contains documentation regarding multiple aspects of the work carried out by the IETF, like working groups, meeting minutes or presentations.</w:t>
      </w:r>
    </w:p>
    <w:p w14:paraId="346024E7" w14:textId="132A9983" w:rsidR="00E40F74" w:rsidRDefault="00E40F74">
      <w:pPr>
        <w:rPr>
          <w:rFonts w:cs="Arial"/>
          <w:szCs w:val="20"/>
        </w:rPr>
      </w:pPr>
      <w:r>
        <w:rPr>
          <w:rFonts w:cs="Arial"/>
          <w:szCs w:val="20"/>
        </w:rPr>
        <w:t>Finally, the IETF also maintains an Internet Draft’s Directory</w:t>
      </w:r>
      <w:r w:rsidR="00D04F1C">
        <w:rPr>
          <w:rStyle w:val="Voetnootmarkering"/>
          <w:rFonts w:cs="Arial"/>
          <w:szCs w:val="20"/>
        </w:rPr>
        <w:footnoteReference w:id="35"/>
      </w:r>
      <w:r>
        <w:rPr>
          <w:rFonts w:cs="Arial"/>
          <w:szCs w:val="20"/>
        </w:rPr>
        <w:t xml:space="preserve"> in which all the information regarding the on-going specifications’ development process is made available publically.</w:t>
      </w:r>
    </w:p>
    <w:p w14:paraId="33B5FB27" w14:textId="52F84A35" w:rsidR="00E40F74" w:rsidRDefault="00E40F74">
      <w:pPr>
        <w:rPr>
          <w:rFonts w:eastAsia="Times New Roman" w:cs="Arial"/>
          <w:lang w:eastAsia="en-GB"/>
        </w:rPr>
      </w:pPr>
      <w:r>
        <w:rPr>
          <w:rFonts w:cs="Arial"/>
          <w:szCs w:val="20"/>
        </w:rPr>
        <w:t xml:space="preserve">These factors </w:t>
      </w:r>
      <w:r w:rsidR="001C4D3A">
        <w:rPr>
          <w:rFonts w:cs="Arial"/>
          <w:szCs w:val="20"/>
        </w:rPr>
        <w:t>show</w:t>
      </w:r>
      <w:r>
        <w:rPr>
          <w:rFonts w:cs="Arial"/>
          <w:szCs w:val="20"/>
        </w:rPr>
        <w:t xml:space="preserve"> a high degree of transparency in the specifications’ development process.</w:t>
      </w:r>
    </w:p>
    <w:p w14:paraId="3BF8295D" w14:textId="77777777" w:rsidR="00CB41DE" w:rsidRPr="009D3AE1" w:rsidRDefault="00CB41DE" w:rsidP="00CB41DE">
      <w:r w:rsidRPr="009D3AE1">
        <w:rPr>
          <w:b/>
          <w:sz w:val="28"/>
          <w:szCs w:val="32"/>
        </w:rPr>
        <w:t>3.3 The specification</w:t>
      </w:r>
      <w:r w:rsidRPr="009D3AE1">
        <w:rPr>
          <w:b/>
        </w:rPr>
        <w:t xml:space="preserve"> </w:t>
      </w:r>
    </w:p>
    <w:p w14:paraId="3A57B72B" w14:textId="653B2CA7" w:rsidR="00CB41DE" w:rsidRPr="009D3AE1" w:rsidRDefault="00CB41DE" w:rsidP="00CB41DE">
      <w:pPr>
        <w:rPr>
          <w:b/>
          <w:i/>
          <w:sz w:val="18"/>
        </w:rPr>
      </w:pPr>
      <w:r w:rsidRPr="009D3AE1">
        <w:rPr>
          <w:b/>
          <w:sz w:val="24"/>
          <w:szCs w:val="32"/>
        </w:rPr>
        <w:t xml:space="preserve">3.3.1. </w:t>
      </w:r>
      <w:r w:rsidRPr="00F376A1">
        <w:rPr>
          <w:rStyle w:val="Kop3Char"/>
        </w:rPr>
        <w:t>Maintenance</w:t>
      </w:r>
    </w:p>
    <w:p w14:paraId="66E8338D" w14:textId="51A83C1C" w:rsidR="00E6606D" w:rsidRDefault="00E6606D">
      <w:r>
        <w:t>The I</w:t>
      </w:r>
      <w:r w:rsidR="007647F4">
        <w:t>E</w:t>
      </w:r>
      <w:r>
        <w:t xml:space="preserve">TF has </w:t>
      </w:r>
      <w:r w:rsidR="001B45B7">
        <w:t>a</w:t>
      </w:r>
      <w:r>
        <w:t xml:space="preserve"> defined maintenance process for its standards</w:t>
      </w:r>
      <w:r w:rsidR="004A1C9A">
        <w:t xml:space="preserve">. </w:t>
      </w:r>
      <w:r w:rsidR="001B45B7">
        <w:t>It is included</w:t>
      </w:r>
      <w:r>
        <w:t xml:space="preserve"> in section 6.3 of its Internet Standards Process</w:t>
      </w:r>
      <w:r>
        <w:rPr>
          <w:rStyle w:val="Voetnootmarkering"/>
        </w:rPr>
        <w:footnoteReference w:id="36"/>
      </w:r>
      <w:r>
        <w:t xml:space="preserve"> a defined method for the revision of its standards. According to it, when a new version of a standard is released it shall undergo the full Internet Standards Process to be endorsed by the I</w:t>
      </w:r>
      <w:r w:rsidR="007647F4">
        <w:t>E</w:t>
      </w:r>
      <w:r>
        <w:t xml:space="preserve">TF as one of its standards. Normally this process ends with </w:t>
      </w:r>
      <w:r w:rsidR="009328D5">
        <w:t>the</w:t>
      </w:r>
      <w:r>
        <w:t xml:space="preserve"> substitution of the old version of the standard for the new one, but in some cases both versions will remain coexisting. In this case the relationship between both shall be clearly defined </w:t>
      </w:r>
      <w:r w:rsidR="009328D5">
        <w:t>rather in the text of the new version of the specification or in a document designed to that end.</w:t>
      </w:r>
    </w:p>
    <w:p w14:paraId="76CDD66E" w14:textId="77777777" w:rsidR="00CE1111" w:rsidRDefault="00CE1111"/>
    <w:p w14:paraId="70839ADB" w14:textId="77777777" w:rsidR="00CE1111" w:rsidRDefault="00CE1111"/>
    <w:p w14:paraId="1F7EC564" w14:textId="77777777" w:rsidR="00CE1111" w:rsidRDefault="00CE1111"/>
    <w:p w14:paraId="6553F008" w14:textId="2416FA30" w:rsidR="00CB41DE" w:rsidRPr="009D3AE1" w:rsidRDefault="00CB41DE" w:rsidP="00B9084C">
      <w:pPr>
        <w:rPr>
          <w:b/>
          <w:sz w:val="24"/>
          <w:szCs w:val="32"/>
        </w:rPr>
      </w:pPr>
      <w:r w:rsidRPr="009D3AE1">
        <w:rPr>
          <w:b/>
          <w:sz w:val="24"/>
          <w:szCs w:val="32"/>
        </w:rPr>
        <w:lastRenderedPageBreak/>
        <w:t xml:space="preserve">3.3.2. Availability </w:t>
      </w:r>
    </w:p>
    <w:p w14:paraId="47820FE4" w14:textId="12D0A829" w:rsidR="00E90A25" w:rsidRPr="00DB1E12" w:rsidRDefault="004A1C9A" w:rsidP="00DB1E12">
      <w:pPr>
        <w:jc w:val="left"/>
        <w:rPr>
          <w:rFonts w:cs="Arial"/>
        </w:rPr>
      </w:pPr>
      <w:r>
        <w:rPr>
          <w:rFonts w:cs="Arial"/>
        </w:rPr>
        <w:t>O</w:t>
      </w:r>
      <w:r w:rsidR="00A032DC">
        <w:rPr>
          <w:rFonts w:cs="Arial"/>
        </w:rPr>
        <w:t>Auth</w:t>
      </w:r>
      <w:r w:rsidR="004D48FD">
        <w:rPr>
          <w:rFonts w:cs="Arial"/>
        </w:rPr>
        <w:t xml:space="preserve"> 2.0</w:t>
      </w:r>
      <w:r w:rsidR="00B229A9" w:rsidRPr="00DB1E12">
        <w:rPr>
          <w:rFonts w:eastAsia="Microsoft YaHei" w:cs="Arial"/>
        </w:rPr>
        <w:t xml:space="preserve"> </w:t>
      </w:r>
      <w:r w:rsidR="00E90A25" w:rsidRPr="00DB1E12">
        <w:rPr>
          <w:rFonts w:eastAsia="Microsoft YaHei" w:cs="Arial"/>
        </w:rPr>
        <w:t xml:space="preserve">is publicly available for download, implementation and use on reasonable </w:t>
      </w:r>
      <w:r w:rsidR="00E90A25" w:rsidRPr="00DB1E12">
        <w:rPr>
          <w:rFonts w:cs="Arial"/>
        </w:rPr>
        <w:t xml:space="preserve">terms in </w:t>
      </w:r>
      <w:r w:rsidR="0014402C">
        <w:rPr>
          <w:rFonts w:cs="Arial"/>
        </w:rPr>
        <w:t xml:space="preserve">IETF’s </w:t>
      </w:r>
      <w:r w:rsidR="00B229A9">
        <w:rPr>
          <w:rFonts w:cs="Arial"/>
        </w:rPr>
        <w:t>webpage</w:t>
      </w:r>
      <w:r w:rsidR="00B229A9">
        <w:rPr>
          <w:rStyle w:val="Voetnootmarkering"/>
          <w:rFonts w:cs="Arial"/>
        </w:rPr>
        <w:footnoteReference w:id="37"/>
      </w:r>
      <w:r w:rsidR="00B30B4D">
        <w:rPr>
          <w:rFonts w:cs="Arial"/>
        </w:rPr>
        <w:t>.</w:t>
      </w:r>
    </w:p>
    <w:p w14:paraId="5D45BEF3" w14:textId="77777777" w:rsidR="002E15B7" w:rsidRDefault="00CB41DE">
      <w:pPr>
        <w:rPr>
          <w:b/>
          <w:sz w:val="24"/>
          <w:szCs w:val="32"/>
        </w:rPr>
      </w:pPr>
      <w:r w:rsidRPr="009D3AE1">
        <w:rPr>
          <w:b/>
          <w:sz w:val="24"/>
          <w:szCs w:val="32"/>
        </w:rPr>
        <w:t>3.3.3. Intellectual Property Rights rules</w:t>
      </w:r>
    </w:p>
    <w:p w14:paraId="59A71236" w14:textId="0B0120C2" w:rsidR="00857B84" w:rsidRPr="00857B84" w:rsidRDefault="00D570F0">
      <w:pPr>
        <w:rPr>
          <w:rFonts w:cs="Arial"/>
          <w:color w:val="000000"/>
          <w:szCs w:val="20"/>
        </w:rPr>
      </w:pPr>
      <w:r w:rsidRPr="00F376A1">
        <w:rPr>
          <w:rFonts w:cs="Arial"/>
          <w:color w:val="000000"/>
          <w:szCs w:val="20"/>
          <w:lang w:eastAsia="ar-SA"/>
        </w:rPr>
        <w:t xml:space="preserve">IETF has a defined and </w:t>
      </w:r>
      <w:r w:rsidR="001C4D3A" w:rsidRPr="00F376A1">
        <w:rPr>
          <w:rFonts w:cs="Arial"/>
          <w:color w:val="000000"/>
          <w:szCs w:val="20"/>
          <w:lang w:eastAsia="ar-SA"/>
        </w:rPr>
        <w:t>publicly available</w:t>
      </w:r>
      <w:r w:rsidRPr="00F376A1">
        <w:rPr>
          <w:rFonts w:cs="Arial"/>
          <w:color w:val="000000"/>
          <w:szCs w:val="20"/>
          <w:lang w:eastAsia="ar-SA"/>
        </w:rPr>
        <w:t xml:space="preserve"> </w:t>
      </w:r>
      <w:r w:rsidR="001C4D3A" w:rsidRPr="00F376A1">
        <w:rPr>
          <w:rFonts w:cs="Arial"/>
          <w:color w:val="000000"/>
          <w:szCs w:val="20"/>
          <w:lang w:eastAsia="ar-SA"/>
        </w:rPr>
        <w:t>policy</w:t>
      </w:r>
      <w:r w:rsidRPr="00F376A1">
        <w:rPr>
          <w:rFonts w:cs="Arial"/>
          <w:color w:val="000000"/>
          <w:szCs w:val="20"/>
          <w:lang w:eastAsia="ar-SA"/>
        </w:rPr>
        <w:t xml:space="preserve"> about Intellectual Property Rights (IPR), such </w:t>
      </w:r>
      <w:r w:rsidR="00192931" w:rsidRPr="00F376A1">
        <w:rPr>
          <w:rFonts w:cs="Arial"/>
          <w:color w:val="000000"/>
          <w:szCs w:val="20"/>
          <w:lang w:eastAsia="ar-SA"/>
        </w:rPr>
        <w:t>as patent</w:t>
      </w:r>
      <w:r w:rsidRPr="00F376A1">
        <w:rPr>
          <w:rFonts w:cs="Arial"/>
          <w:color w:val="000000"/>
          <w:szCs w:val="20"/>
          <w:lang w:eastAsia="ar-SA"/>
        </w:rPr>
        <w:t xml:space="preserve"> rights, relative to technologies developed in the IETF. L</w:t>
      </w:r>
      <w:r w:rsidR="002E15B7" w:rsidRPr="00F376A1">
        <w:rPr>
          <w:rFonts w:cs="Arial"/>
          <w:color w:val="000000"/>
          <w:szCs w:val="20"/>
          <w:lang w:eastAsia="ar-SA"/>
        </w:rPr>
        <w:t xml:space="preserve">ike all the IETF standards, OAuth </w:t>
      </w:r>
      <w:r w:rsidR="002E15B7" w:rsidRPr="00F376A1">
        <w:rPr>
          <w:rFonts w:cs="Arial"/>
          <w:color w:val="000000"/>
          <w:szCs w:val="20"/>
        </w:rPr>
        <w:t xml:space="preserve">is a free and open technical specification, built on IETF standards and </w:t>
      </w:r>
      <w:r w:rsidR="00857B84" w:rsidRPr="00F376A1">
        <w:rPr>
          <w:rFonts w:cs="Arial"/>
          <w:color w:val="000000"/>
          <w:szCs w:val="20"/>
        </w:rPr>
        <w:t>licenses</w:t>
      </w:r>
      <w:r w:rsidR="002E15B7" w:rsidRPr="00F376A1">
        <w:rPr>
          <w:rFonts w:cs="Arial"/>
          <w:color w:val="000000"/>
          <w:szCs w:val="20"/>
        </w:rPr>
        <w:t xml:space="preserve">. </w:t>
      </w:r>
      <w:r w:rsidR="00857B84" w:rsidRPr="00EE198A">
        <w:rPr>
          <w:color w:val="000000"/>
        </w:rPr>
        <w:t>It is subject to BCP 78 and the Trust</w:t>
      </w:r>
      <w:r w:rsidR="00E957EA">
        <w:rPr>
          <w:color w:val="000000"/>
        </w:rPr>
        <w:t>’s</w:t>
      </w:r>
      <w:r w:rsidR="00857B84" w:rsidRPr="00EE198A">
        <w:rPr>
          <w:color w:val="000000"/>
        </w:rPr>
        <w:t xml:space="preserve"> Legal Provisions in force on the date of TS publication. </w:t>
      </w:r>
      <w:r w:rsidR="00E957EA" w:rsidRPr="00E957EA">
        <w:rPr>
          <w:color w:val="000000"/>
        </w:rPr>
        <w:t xml:space="preserve">IPR claims relating to the TS are available from the IETF </w:t>
      </w:r>
      <w:proofErr w:type="spellStart"/>
      <w:r w:rsidR="00E957EA" w:rsidRPr="00E957EA">
        <w:rPr>
          <w:color w:val="000000"/>
        </w:rPr>
        <w:t>Datatracker</w:t>
      </w:r>
      <w:proofErr w:type="spellEnd"/>
      <w:r w:rsidR="00E957EA" w:rsidRPr="00E957EA">
        <w:rPr>
          <w:color w:val="000000"/>
        </w:rPr>
        <w:t xml:space="preserve"> IPR Search tool</w:t>
      </w:r>
      <w:r w:rsidR="00E957EA">
        <w:rPr>
          <w:color w:val="000000"/>
        </w:rPr>
        <w:t>.</w:t>
      </w:r>
      <w:r w:rsidR="00E957EA" w:rsidRPr="00E957EA">
        <w:rPr>
          <w:color w:val="000000"/>
        </w:rPr>
        <w:t xml:space="preserve"> </w:t>
      </w:r>
      <w:r w:rsidR="002E15B7" w:rsidRPr="00F376A1">
        <w:rPr>
          <w:rFonts w:cs="Arial"/>
          <w:color w:val="000000"/>
          <w:szCs w:val="20"/>
        </w:rPr>
        <w:t>OAuth is therefore licensed on a royalty-free basis.</w:t>
      </w:r>
    </w:p>
    <w:p w14:paraId="16AA9B9C" w14:textId="16A61591" w:rsidR="004D7767" w:rsidRDefault="00A91508" w:rsidP="00CB41DE">
      <w:pPr>
        <w:rPr>
          <w:b/>
          <w:sz w:val="24"/>
          <w:szCs w:val="32"/>
        </w:rPr>
      </w:pPr>
      <w:r>
        <w:rPr>
          <w:b/>
          <w:sz w:val="24"/>
          <w:szCs w:val="32"/>
        </w:rPr>
        <w:t>3.3.4. Relevance</w:t>
      </w:r>
    </w:p>
    <w:p w14:paraId="31DEFDE0" w14:textId="56966A0B" w:rsidR="00A032DC" w:rsidRDefault="00A032DC" w:rsidP="00F376A1">
      <w:pPr>
        <w:rPr>
          <w:rFonts w:eastAsia="Microsoft YaHei" w:cs="Arial"/>
        </w:rPr>
      </w:pPr>
      <w:r w:rsidRPr="00A032DC">
        <w:rPr>
          <w:rFonts w:eastAsia="Microsoft YaHei" w:cs="Arial"/>
        </w:rPr>
        <w:t>The OAuth 2.0 authorization framework enables a third-party application to obtain limited access to an HTTP service, either on behalf of a resource owner by orchestrating an approval interaction between the resource owner and the HTTP service</w:t>
      </w:r>
      <w:r w:rsidR="001C4D3A">
        <w:rPr>
          <w:rFonts w:eastAsia="Microsoft YaHei" w:cs="Arial"/>
        </w:rPr>
        <w:t>;</w:t>
      </w:r>
      <w:r w:rsidRPr="00A032DC">
        <w:rPr>
          <w:rFonts w:eastAsia="Microsoft YaHei" w:cs="Arial"/>
        </w:rPr>
        <w:t xml:space="preserve"> or by allowing the third-party application to obtain access on its own behalf. </w:t>
      </w:r>
    </w:p>
    <w:p w14:paraId="567A2985" w14:textId="636F1EE8" w:rsidR="00A032DC" w:rsidRDefault="004A1C9A" w:rsidP="00F376A1">
      <w:pPr>
        <w:rPr>
          <w:rFonts w:eastAsia="Microsoft YaHei" w:cs="Arial"/>
        </w:rPr>
      </w:pPr>
      <w:r>
        <w:rPr>
          <w:rFonts w:eastAsia="Microsoft YaHei" w:cs="Arial"/>
        </w:rPr>
        <w:t>OAuth</w:t>
      </w:r>
      <w:r w:rsidR="003B1657" w:rsidRPr="00F376A1">
        <w:rPr>
          <w:rFonts w:eastAsia="Microsoft YaHei" w:cs="Arial"/>
        </w:rPr>
        <w:t xml:space="preserve"> contributes to the interoperability between public administrations by enabling the delegation of access to protected resources for client applications between them, what is evidenced by several references and implementations.</w:t>
      </w:r>
      <w:r w:rsidR="008715D9" w:rsidRPr="00F376A1">
        <w:rPr>
          <w:rFonts w:eastAsia="Microsoft YaHei" w:cs="Arial"/>
        </w:rPr>
        <w:t xml:space="preserve"> Between these implementations</w:t>
      </w:r>
      <w:r w:rsidR="003B1657" w:rsidRPr="00F376A1">
        <w:rPr>
          <w:rFonts w:eastAsia="Microsoft YaHei" w:cs="Arial"/>
        </w:rPr>
        <w:t xml:space="preserve">, </w:t>
      </w:r>
      <w:proofErr w:type="spellStart"/>
      <w:r w:rsidR="003B1657" w:rsidRPr="00F376A1">
        <w:rPr>
          <w:rFonts w:eastAsia="Microsoft YaHei" w:cs="Arial"/>
        </w:rPr>
        <w:t>WeGovNow</w:t>
      </w:r>
      <w:proofErr w:type="spellEnd"/>
      <w:r w:rsidR="003B1657" w:rsidRPr="00F376A1">
        <w:rPr>
          <w:rFonts w:eastAsia="Microsoft YaHei" w:cs="Arial"/>
        </w:rPr>
        <w:t xml:space="preserve"> aims </w:t>
      </w:r>
      <w:r w:rsidR="001C4D3A">
        <w:rPr>
          <w:rFonts w:eastAsia="Microsoft YaHei" w:cs="Arial"/>
        </w:rPr>
        <w:t>at creating</w:t>
      </w:r>
      <w:r w:rsidR="003B1657" w:rsidRPr="00F376A1">
        <w:rPr>
          <w:rFonts w:eastAsia="Microsoft YaHei" w:cs="Arial"/>
        </w:rPr>
        <w:t xml:space="preserve"> an implementation that is fully compliant with the </w:t>
      </w:r>
      <w:r>
        <w:rPr>
          <w:rFonts w:eastAsia="Microsoft YaHei" w:cs="Arial"/>
        </w:rPr>
        <w:t>OAuth</w:t>
      </w:r>
      <w:r w:rsidR="003B1657" w:rsidRPr="00F376A1">
        <w:rPr>
          <w:rFonts w:eastAsia="Microsoft YaHei" w:cs="Arial"/>
        </w:rPr>
        <w:t xml:space="preserve"> 2.0 Authorization Framework</w:t>
      </w:r>
      <w:r w:rsidR="00DB713A">
        <w:rPr>
          <w:rFonts w:eastAsia="Microsoft YaHei" w:cs="Arial"/>
        </w:rPr>
        <w:t>:</w:t>
      </w:r>
      <w:r w:rsidR="003B1657" w:rsidRPr="00F376A1">
        <w:rPr>
          <w:rFonts w:eastAsia="Microsoft YaHei" w:cs="Arial"/>
        </w:rPr>
        <w:t xml:space="preserve"> the “Unif</w:t>
      </w:r>
      <w:r w:rsidR="00DB713A">
        <w:rPr>
          <w:rFonts w:eastAsia="Microsoft YaHei" w:cs="Arial"/>
        </w:rPr>
        <w:t>i</w:t>
      </w:r>
      <w:r w:rsidR="003B1657" w:rsidRPr="00F376A1">
        <w:rPr>
          <w:rFonts w:eastAsia="Microsoft YaHei" w:cs="Arial"/>
        </w:rPr>
        <w:t xml:space="preserve">ed </w:t>
      </w:r>
      <w:proofErr w:type="spellStart"/>
      <w:r w:rsidR="003B1657" w:rsidRPr="00F376A1">
        <w:rPr>
          <w:rFonts w:eastAsia="Microsoft YaHei" w:cs="Arial"/>
        </w:rPr>
        <w:t>WeGovNow</w:t>
      </w:r>
      <w:proofErr w:type="spellEnd"/>
      <w:r w:rsidR="003B1657" w:rsidRPr="00F376A1">
        <w:rPr>
          <w:rFonts w:eastAsia="Microsoft YaHei" w:cs="Arial"/>
        </w:rPr>
        <w:t xml:space="preserve"> User Management” </w:t>
      </w:r>
      <w:r w:rsidR="00DB713A">
        <w:rPr>
          <w:rFonts w:eastAsia="Microsoft YaHei" w:cs="Arial"/>
        </w:rPr>
        <w:t>module</w:t>
      </w:r>
      <w:r w:rsidR="003B1657" w:rsidRPr="00F376A1">
        <w:rPr>
          <w:rFonts w:eastAsia="Microsoft YaHei" w:cs="Arial"/>
        </w:rPr>
        <w:t>.</w:t>
      </w:r>
      <w:r w:rsidR="00A032DC">
        <w:rPr>
          <w:rFonts w:eastAsia="Microsoft YaHei" w:cs="Arial"/>
        </w:rPr>
        <w:t xml:space="preserve"> </w:t>
      </w:r>
      <w:r w:rsidR="00DB713A">
        <w:rPr>
          <w:rFonts w:eastAsia="Microsoft YaHei" w:cs="Arial"/>
        </w:rPr>
        <w:t>In addition and a</w:t>
      </w:r>
      <w:r w:rsidR="00A032DC">
        <w:rPr>
          <w:rFonts w:eastAsia="Microsoft YaHei" w:cs="Arial"/>
        </w:rPr>
        <w:t>s</w:t>
      </w:r>
      <w:r w:rsidR="008715D9" w:rsidRPr="00F376A1">
        <w:rPr>
          <w:rFonts w:eastAsia="Microsoft YaHei" w:cs="Arial"/>
        </w:rPr>
        <w:t xml:space="preserve"> </w:t>
      </w:r>
      <w:r w:rsidR="00DB713A">
        <w:rPr>
          <w:rFonts w:eastAsia="Microsoft YaHei" w:cs="Arial"/>
        </w:rPr>
        <w:t>p</w:t>
      </w:r>
      <w:r w:rsidR="00A032DC" w:rsidRPr="00B30B4D">
        <w:rPr>
          <w:rFonts w:eastAsia="Microsoft YaHei" w:cs="Arial"/>
        </w:rPr>
        <w:t>reviously</w:t>
      </w:r>
      <w:r w:rsidR="008715D9" w:rsidRPr="00F376A1">
        <w:rPr>
          <w:rFonts w:eastAsia="Microsoft YaHei" w:cs="Arial"/>
        </w:rPr>
        <w:t xml:space="preserve"> mentioned in section 2.1 of this report, </w:t>
      </w:r>
      <w:r>
        <w:rPr>
          <w:rFonts w:eastAsia="Microsoft YaHei" w:cs="Arial"/>
        </w:rPr>
        <w:t>OAuth</w:t>
      </w:r>
      <w:r w:rsidR="008715D9" w:rsidRPr="00F376A1">
        <w:rPr>
          <w:rFonts w:eastAsia="Microsoft YaHei" w:cs="Arial"/>
        </w:rPr>
        <w:t xml:space="preserve"> 2.0 has been implemented by a large set of companies with an absolute dominance in their markets</w:t>
      </w:r>
      <w:r w:rsidR="00A032DC">
        <w:rPr>
          <w:rFonts w:eastAsia="Microsoft YaHei" w:cs="Arial"/>
        </w:rPr>
        <w:t xml:space="preserve">. </w:t>
      </w:r>
    </w:p>
    <w:p w14:paraId="65C87C3C" w14:textId="2183D03C" w:rsidR="00A032DC" w:rsidRPr="00A032DC" w:rsidRDefault="00A032DC" w:rsidP="00F376A1">
      <w:pPr>
        <w:rPr>
          <w:rFonts w:eastAsia="Microsoft YaHei" w:cs="Arial"/>
        </w:rPr>
      </w:pPr>
      <w:r w:rsidRPr="00A032DC">
        <w:rPr>
          <w:rFonts w:eastAsia="Microsoft YaHei" w:cs="Arial"/>
        </w:rPr>
        <w:t>OAuth</w:t>
      </w:r>
      <w:r w:rsidR="000F16BF">
        <w:rPr>
          <w:rFonts w:eastAsia="Microsoft YaHei" w:cs="Arial"/>
        </w:rPr>
        <w:t xml:space="preserve"> 2.0 clearly</w:t>
      </w:r>
      <w:r w:rsidRPr="00A032DC">
        <w:rPr>
          <w:rFonts w:eastAsia="Microsoft YaHei" w:cs="Arial"/>
        </w:rPr>
        <w:t xml:space="preserve"> provides security and </w:t>
      </w:r>
      <w:r w:rsidR="000F16BF">
        <w:rPr>
          <w:rFonts w:eastAsia="Microsoft YaHei" w:cs="Arial"/>
        </w:rPr>
        <w:t>reduces</w:t>
      </w:r>
      <w:r w:rsidRPr="00A032DC">
        <w:rPr>
          <w:rFonts w:eastAsia="Microsoft YaHei" w:cs="Arial"/>
        </w:rPr>
        <w:t xml:space="preserve"> privacy risks. The added value of th</w:t>
      </w:r>
      <w:r w:rsidR="00DB713A">
        <w:rPr>
          <w:rFonts w:eastAsia="Microsoft YaHei" w:cs="Arial"/>
        </w:rPr>
        <w:t>is</w:t>
      </w:r>
      <w:r w:rsidRPr="00A032DC">
        <w:rPr>
          <w:rFonts w:eastAsia="Microsoft YaHei" w:cs="Arial"/>
        </w:rPr>
        <w:t xml:space="preserve"> </w:t>
      </w:r>
      <w:r w:rsidR="000F16BF">
        <w:rPr>
          <w:rFonts w:eastAsia="Microsoft YaHei" w:cs="Arial"/>
        </w:rPr>
        <w:t>technical specification</w:t>
      </w:r>
      <w:r w:rsidRPr="00A032DC">
        <w:rPr>
          <w:rFonts w:eastAsia="Microsoft YaHei" w:cs="Arial"/>
        </w:rPr>
        <w:t xml:space="preserve"> is that providers of online services </w:t>
      </w:r>
      <w:r w:rsidR="000F16BF">
        <w:rPr>
          <w:rFonts w:eastAsia="Microsoft YaHei" w:cs="Arial"/>
        </w:rPr>
        <w:t>w</w:t>
      </w:r>
      <w:r w:rsidR="00DB713A">
        <w:rPr>
          <w:rFonts w:eastAsia="Microsoft YaHei" w:cs="Arial"/>
        </w:rPr>
        <w:t>ill not</w:t>
      </w:r>
      <w:r w:rsidR="000F16BF">
        <w:rPr>
          <w:rFonts w:eastAsia="Microsoft YaHei" w:cs="Arial"/>
        </w:rPr>
        <w:t xml:space="preserve"> acquire </w:t>
      </w:r>
      <w:r w:rsidRPr="00A032DC">
        <w:rPr>
          <w:rFonts w:eastAsia="Microsoft YaHei" w:cs="Arial"/>
        </w:rPr>
        <w:t xml:space="preserve">log-in data </w:t>
      </w:r>
      <w:r w:rsidR="00DB713A">
        <w:rPr>
          <w:rFonts w:eastAsia="Microsoft YaHei" w:cs="Arial"/>
        </w:rPr>
        <w:t>from</w:t>
      </w:r>
      <w:r w:rsidRPr="00A032DC">
        <w:rPr>
          <w:rFonts w:eastAsia="Microsoft YaHei" w:cs="Arial"/>
        </w:rPr>
        <w:t xml:space="preserve"> users in order to </w:t>
      </w:r>
      <w:r w:rsidR="000F16BF">
        <w:rPr>
          <w:rFonts w:eastAsia="Microsoft YaHei" w:cs="Arial"/>
        </w:rPr>
        <w:t xml:space="preserve">allow them to use </w:t>
      </w:r>
      <w:r w:rsidRPr="00A032DC">
        <w:rPr>
          <w:rFonts w:eastAsia="Microsoft YaHei" w:cs="Arial"/>
        </w:rPr>
        <w:t>other online services. The result is reduction of privacy and identity</w:t>
      </w:r>
      <w:r w:rsidR="00CD4898">
        <w:rPr>
          <w:rFonts w:eastAsia="Microsoft YaHei" w:cs="Arial"/>
        </w:rPr>
        <w:t>-</w:t>
      </w:r>
      <w:r w:rsidRPr="00A032DC">
        <w:rPr>
          <w:rFonts w:eastAsia="Microsoft YaHei" w:cs="Arial"/>
        </w:rPr>
        <w:t>theft</w:t>
      </w:r>
      <w:r w:rsidR="00CD4898" w:rsidRPr="00CD4898">
        <w:rPr>
          <w:rFonts w:eastAsia="Microsoft YaHei" w:cs="Arial"/>
        </w:rPr>
        <w:t xml:space="preserve"> </w:t>
      </w:r>
      <w:r w:rsidR="00CD4898" w:rsidRPr="00A032DC">
        <w:rPr>
          <w:rFonts w:eastAsia="Microsoft YaHei" w:cs="Arial"/>
        </w:rPr>
        <w:t>risks</w:t>
      </w:r>
      <w:r w:rsidR="00CD4898">
        <w:rPr>
          <w:rFonts w:eastAsia="Microsoft YaHei" w:cs="Arial"/>
        </w:rPr>
        <w:t>,</w:t>
      </w:r>
      <w:r w:rsidRPr="00A032DC">
        <w:rPr>
          <w:rFonts w:eastAsia="Microsoft YaHei" w:cs="Arial"/>
        </w:rPr>
        <w:t xml:space="preserve"> and misuse of identity data. </w:t>
      </w:r>
      <w:r w:rsidR="000F16BF">
        <w:rPr>
          <w:rFonts w:eastAsia="Microsoft YaHei" w:cs="Arial"/>
        </w:rPr>
        <w:t>It also allows</w:t>
      </w:r>
      <w:r w:rsidRPr="00A032DC">
        <w:rPr>
          <w:rFonts w:eastAsia="Microsoft YaHei" w:cs="Arial"/>
        </w:rPr>
        <w:t xml:space="preserve"> web and mobile applications to integrate securely with each other. </w:t>
      </w:r>
      <w:r w:rsidR="00CD4898">
        <w:rPr>
          <w:rFonts w:eastAsia="Microsoft YaHei" w:cs="Arial"/>
        </w:rPr>
        <w:t>For example, within</w:t>
      </w:r>
      <w:r w:rsidRPr="00A032DC">
        <w:rPr>
          <w:rFonts w:eastAsia="Microsoft YaHei" w:cs="Arial"/>
        </w:rPr>
        <w:t xml:space="preserve"> mobile services us</w:t>
      </w:r>
      <w:r w:rsidR="00CD4898">
        <w:rPr>
          <w:rFonts w:eastAsia="Microsoft YaHei" w:cs="Arial"/>
        </w:rPr>
        <w:t>ing</w:t>
      </w:r>
      <w:r w:rsidRPr="00A032DC">
        <w:rPr>
          <w:rFonts w:eastAsia="Microsoft YaHei" w:cs="Arial"/>
        </w:rPr>
        <w:t xml:space="preserve"> RESTful APIs OAuth 2.0 can be used to take care of the authorization.</w:t>
      </w:r>
    </w:p>
    <w:p w14:paraId="2090342D" w14:textId="58D84DB6" w:rsidR="008715D9" w:rsidRPr="00F376A1" w:rsidRDefault="00A032DC" w:rsidP="00F376A1">
      <w:pPr>
        <w:rPr>
          <w:rFonts w:eastAsia="Microsoft YaHei" w:cs="Arial"/>
        </w:rPr>
      </w:pPr>
      <w:r w:rsidRPr="00A032DC">
        <w:rPr>
          <w:rFonts w:eastAsia="Microsoft YaHei" w:cs="Arial"/>
        </w:rPr>
        <w:t>Therefore, through its purpose to give users more control over their data, OAuth addresses societal needs and public policy objectives.</w:t>
      </w:r>
    </w:p>
    <w:p w14:paraId="2FB1D981" w14:textId="573BBBA9" w:rsidR="0014402C" w:rsidRDefault="0064019A" w:rsidP="0064019A">
      <w:pPr>
        <w:rPr>
          <w:b/>
          <w:sz w:val="24"/>
          <w:szCs w:val="32"/>
        </w:rPr>
      </w:pPr>
      <w:r w:rsidRPr="009D3AE1">
        <w:rPr>
          <w:b/>
          <w:sz w:val="24"/>
          <w:szCs w:val="32"/>
        </w:rPr>
        <w:t>3.3.5. Neutrality and stability</w:t>
      </w:r>
    </w:p>
    <w:p w14:paraId="619247AC" w14:textId="41573BC9" w:rsidR="004D47FD" w:rsidRPr="00F376A1" w:rsidRDefault="0014402C" w:rsidP="00F376A1">
      <w:pPr>
        <w:rPr>
          <w:rFonts w:eastAsia="Microsoft YaHei" w:cs="Arial"/>
        </w:rPr>
      </w:pPr>
      <w:r w:rsidRPr="00F376A1">
        <w:rPr>
          <w:rFonts w:eastAsia="Microsoft YaHei" w:cs="Arial"/>
        </w:rPr>
        <w:t>The Internet Engineering Task Force (IETF) is the premier Internet standards body, developing open standards through open processes.</w:t>
      </w:r>
      <w:r w:rsidR="00691FE8" w:rsidRPr="00F376A1">
        <w:rPr>
          <w:rFonts w:eastAsia="Microsoft YaHei" w:cs="Arial"/>
        </w:rPr>
        <w:t xml:space="preserve"> As an IETF standard </w:t>
      </w:r>
      <w:r w:rsidR="004A1C9A">
        <w:rPr>
          <w:rFonts w:eastAsia="Microsoft YaHei" w:cs="Arial"/>
        </w:rPr>
        <w:t>OAUTH</w:t>
      </w:r>
      <w:r w:rsidR="00691FE8" w:rsidRPr="00F376A1">
        <w:rPr>
          <w:rFonts w:eastAsia="Microsoft YaHei" w:cs="Arial"/>
        </w:rPr>
        <w:t xml:space="preserve"> 2.0 has been developed through the use of an open and consensus-based process. It is an open standard, and it has been implemented by a large set of different stakeholders with a clear dominance in their respective markets (See section 2.1). There is no known interoperability issues between it and any other standards</w:t>
      </w:r>
      <w:r w:rsidR="004D47FD" w:rsidRPr="00F376A1">
        <w:rPr>
          <w:rFonts w:eastAsia="Microsoft YaHei" w:cs="Arial"/>
        </w:rPr>
        <w:t>,</w:t>
      </w:r>
      <w:r w:rsidR="00691FE8" w:rsidRPr="00F376A1">
        <w:rPr>
          <w:rFonts w:eastAsia="Microsoft YaHei" w:cs="Arial"/>
        </w:rPr>
        <w:t xml:space="preserve"> and it has been in use for a sufficient time to be considered as a stable standard.</w:t>
      </w:r>
    </w:p>
    <w:p w14:paraId="58377D46" w14:textId="4185BD03" w:rsidR="00C12B24" w:rsidRPr="00F376A1" w:rsidRDefault="004D47FD" w:rsidP="00F376A1">
      <w:pPr>
        <w:rPr>
          <w:rFonts w:eastAsia="Microsoft YaHei" w:cs="Arial"/>
        </w:rPr>
      </w:pPr>
      <w:r w:rsidRPr="00F376A1">
        <w:rPr>
          <w:rFonts w:eastAsia="Microsoft YaHei" w:cs="Arial"/>
        </w:rPr>
        <w:t>Therefore, it shall be considered a neutral and stable standard.</w:t>
      </w:r>
    </w:p>
    <w:p w14:paraId="57A19059" w14:textId="77777777" w:rsidR="00296934" w:rsidRDefault="00296934" w:rsidP="00296934">
      <w:pPr>
        <w:rPr>
          <w:b/>
          <w:sz w:val="24"/>
          <w:szCs w:val="32"/>
        </w:rPr>
      </w:pPr>
      <w:r w:rsidRPr="009D3AE1">
        <w:rPr>
          <w:b/>
          <w:sz w:val="24"/>
          <w:szCs w:val="32"/>
        </w:rPr>
        <w:t xml:space="preserve">3.3.6. Quality </w:t>
      </w:r>
    </w:p>
    <w:p w14:paraId="2D505076" w14:textId="1A9DD436" w:rsidR="0014402C" w:rsidRPr="00F376A1" w:rsidRDefault="005C36FC" w:rsidP="00F376A1">
      <w:pPr>
        <w:rPr>
          <w:rFonts w:eastAsia="Microsoft YaHei" w:cs="Arial"/>
        </w:rPr>
      </w:pPr>
      <w:r w:rsidRPr="00F376A1">
        <w:rPr>
          <w:rFonts w:eastAsia="Microsoft YaHei" w:cs="Arial"/>
        </w:rPr>
        <w:t>The sufficient detail, consistency and completeness for the use and development of products and services</w:t>
      </w:r>
      <w:r w:rsidR="0014402C" w:rsidRPr="00F376A1">
        <w:rPr>
          <w:rFonts w:eastAsia="Microsoft YaHei" w:cs="Arial"/>
        </w:rPr>
        <w:t xml:space="preserve"> of </w:t>
      </w:r>
      <w:r w:rsidR="004A1C9A">
        <w:rPr>
          <w:rFonts w:eastAsia="Microsoft YaHei" w:cs="Arial"/>
        </w:rPr>
        <w:t>OAuth</w:t>
      </w:r>
      <w:r w:rsidR="0014402C" w:rsidRPr="00F376A1">
        <w:rPr>
          <w:rFonts w:eastAsia="Microsoft YaHei" w:cs="Arial"/>
        </w:rPr>
        <w:t>2.0 is incontestable.</w:t>
      </w:r>
      <w:r w:rsidRPr="00F376A1">
        <w:rPr>
          <w:rFonts w:eastAsia="Microsoft YaHei" w:cs="Arial"/>
        </w:rPr>
        <w:t xml:space="preserve"> </w:t>
      </w:r>
      <w:r w:rsidR="0014402C" w:rsidRPr="00F376A1">
        <w:rPr>
          <w:rFonts w:eastAsia="Microsoft YaHei" w:cs="Arial"/>
        </w:rPr>
        <w:t>It is</w:t>
      </w:r>
      <w:r w:rsidRPr="00F376A1">
        <w:rPr>
          <w:rFonts w:eastAsia="Microsoft YaHei" w:cs="Arial"/>
        </w:rPr>
        <w:t xml:space="preserve"> evidenced by the wide use of </w:t>
      </w:r>
      <w:r w:rsidR="004A1C9A">
        <w:rPr>
          <w:rFonts w:eastAsia="Microsoft YaHei" w:cs="Arial"/>
        </w:rPr>
        <w:t>OAuth</w:t>
      </w:r>
      <w:r w:rsidRPr="00F376A1">
        <w:rPr>
          <w:rFonts w:eastAsia="Microsoft YaHei" w:cs="Arial"/>
        </w:rPr>
        <w:t xml:space="preserve"> 2.0 as a security standard </w:t>
      </w:r>
      <w:r w:rsidRPr="00F376A1">
        <w:rPr>
          <w:rFonts w:eastAsia="Microsoft YaHei" w:cs="Arial"/>
        </w:rPr>
        <w:lastRenderedPageBreak/>
        <w:t xml:space="preserve">for phones, tablets, wearables, and internet of things devices. A familiar example for users is the possibility to log in to a particular online service using a Google, </w:t>
      </w:r>
      <w:proofErr w:type="spellStart"/>
      <w:r w:rsidRPr="00F376A1">
        <w:rPr>
          <w:rFonts w:eastAsia="Microsoft YaHei" w:cs="Arial"/>
        </w:rPr>
        <w:t>Github</w:t>
      </w:r>
      <w:proofErr w:type="spellEnd"/>
      <w:r w:rsidRPr="00F376A1">
        <w:rPr>
          <w:rFonts w:eastAsia="Microsoft YaHei" w:cs="Arial"/>
        </w:rPr>
        <w:t xml:space="preserve"> or Facebook account.</w:t>
      </w:r>
    </w:p>
    <w:p w14:paraId="68BB0E0F" w14:textId="36113EA8" w:rsidR="008A34EC" w:rsidRDefault="0014402C" w:rsidP="00F376A1">
      <w:pPr>
        <w:rPr>
          <w:rFonts w:eastAsia="Microsoft YaHei" w:cs="Arial"/>
        </w:rPr>
      </w:pPr>
      <w:r w:rsidRPr="00F376A1">
        <w:rPr>
          <w:rFonts w:eastAsia="Microsoft YaHei" w:cs="Arial"/>
        </w:rPr>
        <w:t>However</w:t>
      </w:r>
      <w:r w:rsidR="00B30B4D">
        <w:rPr>
          <w:rFonts w:eastAsia="Microsoft YaHei" w:cs="Arial"/>
        </w:rPr>
        <w:t xml:space="preserve">, </w:t>
      </w:r>
      <w:r w:rsidR="004A1C9A">
        <w:rPr>
          <w:rFonts w:eastAsia="Microsoft YaHei" w:cs="Arial"/>
        </w:rPr>
        <w:t>OAuth</w:t>
      </w:r>
      <w:r w:rsidR="00B30B4D">
        <w:rPr>
          <w:rFonts w:eastAsia="Microsoft YaHei" w:cs="Arial"/>
        </w:rPr>
        <w:t xml:space="preserve"> 2.0 has been proved to have Covert Redirect Vulnerabilities. A Covert Redirect is an app that takes a parameter and redirects a user to the parameter value without sufficient validation. </w:t>
      </w:r>
      <w:r w:rsidR="008A34EC">
        <w:rPr>
          <w:rFonts w:eastAsia="Microsoft YaHei" w:cs="Arial"/>
        </w:rPr>
        <w:t xml:space="preserve">This particular vulnerability is not a direct consequence of the use of </w:t>
      </w:r>
      <w:r w:rsidR="004A1C9A">
        <w:rPr>
          <w:rFonts w:eastAsia="Microsoft YaHei" w:cs="Arial"/>
        </w:rPr>
        <w:t>OAuth</w:t>
      </w:r>
      <w:r w:rsidR="008A34EC">
        <w:rPr>
          <w:rFonts w:eastAsia="Microsoft YaHei" w:cs="Arial"/>
        </w:rPr>
        <w:t xml:space="preserve"> 2.0 itself, but of an excess of confidence on the clients. In this sense, </w:t>
      </w:r>
      <w:r w:rsidR="004A1C9A">
        <w:rPr>
          <w:rFonts w:eastAsia="Microsoft YaHei" w:cs="Arial"/>
        </w:rPr>
        <w:t>OAuth</w:t>
      </w:r>
      <w:r w:rsidR="008A34EC">
        <w:rPr>
          <w:rFonts w:eastAsia="Microsoft YaHei" w:cs="Arial"/>
        </w:rPr>
        <w:t xml:space="preserve"> 2.0 expects to receive lists of trustworthy domains and assumes their safety, while this is not always the case.</w:t>
      </w:r>
    </w:p>
    <w:p w14:paraId="417B8653" w14:textId="455265BA" w:rsidR="007C2FC3" w:rsidRPr="00F376A1" w:rsidRDefault="008A34EC" w:rsidP="00F376A1">
      <w:pPr>
        <w:rPr>
          <w:rFonts w:eastAsia="Microsoft YaHei" w:cs="Arial"/>
        </w:rPr>
      </w:pPr>
      <w:r>
        <w:rPr>
          <w:rFonts w:eastAsia="Microsoft YaHei" w:cs="Arial"/>
        </w:rPr>
        <w:t xml:space="preserve">However, as it is not a particular security breach </w:t>
      </w:r>
      <w:r w:rsidR="00F81F0F">
        <w:rPr>
          <w:rFonts w:eastAsia="Microsoft YaHei" w:cs="Arial"/>
        </w:rPr>
        <w:t xml:space="preserve">derived </w:t>
      </w:r>
      <w:r>
        <w:rPr>
          <w:rFonts w:eastAsia="Microsoft YaHei" w:cs="Arial"/>
        </w:rPr>
        <w:t xml:space="preserve">from the use of the specification it cannot be stated that </w:t>
      </w:r>
      <w:r w:rsidR="004A1C9A">
        <w:rPr>
          <w:rFonts w:eastAsia="Microsoft YaHei" w:cs="Arial"/>
        </w:rPr>
        <w:t>OAuth</w:t>
      </w:r>
      <w:r>
        <w:rPr>
          <w:rFonts w:eastAsia="Microsoft YaHei" w:cs="Arial"/>
        </w:rPr>
        <w:t xml:space="preserve"> 2.0’s quality can be undermined by it.</w:t>
      </w:r>
      <w:r w:rsidR="00177040">
        <w:rPr>
          <w:rFonts w:eastAsia="Microsoft YaHei" w:cs="Arial"/>
        </w:rPr>
        <w:t xml:space="preserve"> Also, </w:t>
      </w:r>
      <w:r w:rsidR="00177040">
        <w:t>security considerations</w:t>
      </w:r>
      <w:r w:rsidR="00177040">
        <w:rPr>
          <w:rStyle w:val="Voetnootmarkering"/>
        </w:rPr>
        <w:footnoteReference w:id="38"/>
      </w:r>
      <w:r w:rsidR="00177040">
        <w:t xml:space="preserve"> were defined base on a threat model for the OAuth </w:t>
      </w:r>
      <w:r w:rsidR="001D515D">
        <w:t>protocol</w:t>
      </w:r>
      <w:r w:rsidR="00177040">
        <w:t xml:space="preserve"> in order to complement those included in the OAuth specification.</w:t>
      </w:r>
    </w:p>
    <w:sectPr w:rsidR="007C2FC3" w:rsidRPr="00F376A1" w:rsidSect="007703D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A7DE46" w14:textId="77777777" w:rsidR="006E53F6" w:rsidRDefault="006E53F6" w:rsidP="003D07FD">
      <w:pPr>
        <w:spacing w:after="0" w:line="240" w:lineRule="auto"/>
      </w:pPr>
      <w:r>
        <w:separator/>
      </w:r>
    </w:p>
  </w:endnote>
  <w:endnote w:type="continuationSeparator" w:id="0">
    <w:p w14:paraId="083BED4F" w14:textId="77777777" w:rsidR="006E53F6" w:rsidRDefault="006E53F6" w:rsidP="003D0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64E71C" w14:textId="77777777" w:rsidR="006C23B1" w:rsidRDefault="006C23B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8FF98" w14:textId="77777777" w:rsidR="006C23B1" w:rsidRDefault="006C23B1">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B2D1C" w14:textId="77777777" w:rsidR="006C23B1" w:rsidRDefault="006C23B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9C1AB3" w14:textId="77777777" w:rsidR="006E53F6" w:rsidRDefault="006E53F6" w:rsidP="003D07FD">
      <w:pPr>
        <w:spacing w:after="0" w:line="240" w:lineRule="auto"/>
      </w:pPr>
      <w:r>
        <w:separator/>
      </w:r>
    </w:p>
  </w:footnote>
  <w:footnote w:type="continuationSeparator" w:id="0">
    <w:p w14:paraId="5E3AECCD" w14:textId="77777777" w:rsidR="006E53F6" w:rsidRDefault="006E53F6" w:rsidP="003D07FD">
      <w:pPr>
        <w:spacing w:after="0" w:line="240" w:lineRule="auto"/>
      </w:pPr>
      <w:r>
        <w:continuationSeparator/>
      </w:r>
    </w:p>
  </w:footnote>
  <w:footnote w:id="1">
    <w:p w14:paraId="7243DB99" w14:textId="77777777" w:rsidR="00F62B00" w:rsidRPr="004D48FD" w:rsidRDefault="00F62B00" w:rsidP="00260C2E">
      <w:pPr>
        <w:pStyle w:val="Voetnoottekst"/>
        <w:spacing w:after="0"/>
        <w:ind w:left="340" w:hanging="340"/>
        <w:rPr>
          <w:sz w:val="16"/>
          <w:lang w:val="fr-BE"/>
        </w:rPr>
      </w:pPr>
      <w:r w:rsidRPr="00DD0178">
        <w:rPr>
          <w:rStyle w:val="Voetnootmarkering"/>
          <w:sz w:val="16"/>
        </w:rPr>
        <w:footnoteRef/>
      </w:r>
      <w:r w:rsidRPr="004D48FD">
        <w:rPr>
          <w:sz w:val="16"/>
          <w:lang w:val="fr-BE"/>
        </w:rPr>
        <w:t xml:space="preserve"> </w:t>
      </w:r>
      <w:hyperlink r:id="rId1" w:history="1">
        <w:r w:rsidRPr="004D48FD">
          <w:rPr>
            <w:rStyle w:val="Hyperlink"/>
            <w:sz w:val="16"/>
            <w:lang w:val="fr-BE"/>
          </w:rPr>
          <w:t>http://eur-lex.europa.eu/legal-content/EN/TXT/PDF/?uri=CELEX:32012R1025&amp;from=EN</w:t>
        </w:r>
      </w:hyperlink>
      <w:r w:rsidRPr="004D48FD">
        <w:rPr>
          <w:sz w:val="16"/>
          <w:lang w:val="fr-BE"/>
        </w:rPr>
        <w:t xml:space="preserve"> </w:t>
      </w:r>
    </w:p>
  </w:footnote>
  <w:footnote w:id="2">
    <w:p w14:paraId="04170481" w14:textId="77777777" w:rsidR="00F62B00" w:rsidRPr="00F13F89" w:rsidRDefault="00F62B00" w:rsidP="00FD4DB6">
      <w:pPr>
        <w:pStyle w:val="Voetnoottekst"/>
        <w:rPr>
          <w:lang w:val="fr-BE"/>
        </w:rPr>
      </w:pPr>
      <w:r>
        <w:rPr>
          <w:rStyle w:val="Voetnootmarkering"/>
        </w:rPr>
        <w:footnoteRef/>
      </w:r>
      <w:r w:rsidRPr="00F13F89">
        <w:rPr>
          <w:lang w:val="fr-BE"/>
        </w:rPr>
        <w:t xml:space="preserve"> </w:t>
      </w:r>
      <w:hyperlink r:id="rId2" w:history="1">
        <w:r w:rsidRPr="00F13F89">
          <w:rPr>
            <w:rStyle w:val="Hyperlink"/>
            <w:rFonts w:asciiTheme="minorHAnsi" w:hAnsiTheme="minorHAnsi" w:cstheme="minorHAnsi"/>
            <w:sz w:val="16"/>
            <w:szCs w:val="16"/>
            <w:lang w:val="fr-BE"/>
          </w:rPr>
          <w:t>https://www.rfc-editor.org/rfc/rfc2026.txt</w:t>
        </w:r>
      </w:hyperlink>
    </w:p>
  </w:footnote>
  <w:footnote w:id="3">
    <w:p w14:paraId="1DD19CB0" w14:textId="77777777" w:rsidR="00F62B00" w:rsidRPr="00F13F89" w:rsidRDefault="00F62B00" w:rsidP="006A19E2">
      <w:pPr>
        <w:pStyle w:val="Voetnoottekst"/>
        <w:rPr>
          <w:lang w:val="fr-BE"/>
        </w:rPr>
      </w:pPr>
      <w:r>
        <w:rPr>
          <w:rStyle w:val="Voetnootmarkering"/>
        </w:rPr>
        <w:footnoteRef/>
      </w:r>
      <w:r w:rsidRPr="00F13F89">
        <w:rPr>
          <w:lang w:val="fr-BE"/>
        </w:rPr>
        <w:t xml:space="preserve"> </w:t>
      </w:r>
      <w:hyperlink r:id="rId3" w:history="1">
        <w:r w:rsidRPr="00F13F89">
          <w:rPr>
            <w:rStyle w:val="Hyperlink"/>
            <w:rFonts w:asciiTheme="minorHAnsi" w:hAnsiTheme="minorHAnsi" w:cstheme="minorHAnsi"/>
            <w:sz w:val="16"/>
            <w:szCs w:val="16"/>
            <w:lang w:val="fr-BE"/>
          </w:rPr>
          <w:t>https://tools.ietf.org/html/rfc6749</w:t>
        </w:r>
      </w:hyperlink>
    </w:p>
  </w:footnote>
  <w:footnote w:id="4">
    <w:p w14:paraId="32A6AB01" w14:textId="0CD481D1" w:rsidR="00EE198A" w:rsidRPr="00CE1111" w:rsidRDefault="00EE198A">
      <w:pPr>
        <w:pStyle w:val="Voetnoottekst"/>
        <w:rPr>
          <w:lang w:val="fr-BE"/>
        </w:rPr>
      </w:pPr>
      <w:r>
        <w:rPr>
          <w:rStyle w:val="Voetnootmarkering"/>
        </w:rPr>
        <w:footnoteRef/>
      </w:r>
      <w:r w:rsidRPr="00CE1111">
        <w:rPr>
          <w:lang w:val="fr-BE"/>
        </w:rPr>
        <w:t xml:space="preserve"> </w:t>
      </w:r>
      <w:hyperlink r:id="rId4" w:history="1">
        <w:r w:rsidRPr="00CE1111">
          <w:rPr>
            <w:rStyle w:val="Hyperlink"/>
            <w:rFonts w:asciiTheme="minorHAnsi" w:hAnsiTheme="minorHAnsi" w:cstheme="minorHAnsi"/>
            <w:sz w:val="16"/>
            <w:szCs w:val="16"/>
            <w:lang w:val="fr-BE"/>
          </w:rPr>
          <w:t>https://www.rfc-editor.org/rfc/rfc5378.txt</w:t>
        </w:r>
      </w:hyperlink>
    </w:p>
  </w:footnote>
  <w:footnote w:id="5">
    <w:p w14:paraId="24A80BF1" w14:textId="574A88B8" w:rsidR="00EE198A" w:rsidRPr="00CE1111" w:rsidRDefault="00EE198A">
      <w:pPr>
        <w:pStyle w:val="Voetnoottekst"/>
        <w:rPr>
          <w:lang w:val="fr-BE"/>
        </w:rPr>
      </w:pPr>
      <w:r>
        <w:rPr>
          <w:rStyle w:val="Voetnootmarkering"/>
        </w:rPr>
        <w:footnoteRef/>
      </w:r>
      <w:r w:rsidRPr="00CE1111">
        <w:rPr>
          <w:lang w:val="fr-BE"/>
        </w:rPr>
        <w:t xml:space="preserve"> </w:t>
      </w:r>
      <w:hyperlink r:id="rId5" w:history="1">
        <w:r w:rsidRPr="00CE1111">
          <w:rPr>
            <w:rStyle w:val="Hyperlink"/>
            <w:rFonts w:asciiTheme="minorHAnsi" w:hAnsiTheme="minorHAnsi" w:cstheme="minorHAnsi"/>
            <w:sz w:val="16"/>
            <w:szCs w:val="16"/>
            <w:lang w:val="fr-BE"/>
          </w:rPr>
          <w:t>http://trustee.ietf.org/license-info/IETF-TLP-4.pdf</w:t>
        </w:r>
      </w:hyperlink>
    </w:p>
  </w:footnote>
  <w:footnote w:id="6">
    <w:p w14:paraId="67A2BFC8" w14:textId="7510BF60" w:rsidR="00EE198A" w:rsidRPr="00CE1111" w:rsidRDefault="00EE198A">
      <w:pPr>
        <w:pStyle w:val="Voetnoottekst"/>
        <w:rPr>
          <w:lang w:val="fr-BE"/>
        </w:rPr>
      </w:pPr>
      <w:r>
        <w:rPr>
          <w:rStyle w:val="Voetnootmarkering"/>
        </w:rPr>
        <w:footnoteRef/>
      </w:r>
      <w:r w:rsidRPr="00CE1111">
        <w:rPr>
          <w:lang w:val="fr-BE"/>
        </w:rPr>
        <w:t xml:space="preserve"> </w:t>
      </w:r>
      <w:hyperlink r:id="rId6" w:history="1">
        <w:r w:rsidRPr="00CE1111">
          <w:rPr>
            <w:rStyle w:val="Hyperlink"/>
            <w:rFonts w:asciiTheme="minorHAnsi" w:hAnsiTheme="minorHAnsi" w:cstheme="minorHAnsi"/>
            <w:sz w:val="16"/>
            <w:szCs w:val="16"/>
            <w:lang w:val="fr-BE"/>
          </w:rPr>
          <w:t>https://datatracker.ietf.org/ipr/search/?rfc=6749&amp;submit=rfc</w:t>
        </w:r>
      </w:hyperlink>
    </w:p>
  </w:footnote>
  <w:footnote w:id="7">
    <w:p w14:paraId="2C059668" w14:textId="6D67CEE6" w:rsidR="00F62B00" w:rsidRPr="00F376A1" w:rsidRDefault="00F62B00">
      <w:pPr>
        <w:pStyle w:val="Voetnoottekst"/>
        <w:rPr>
          <w:lang w:val="fr-BE"/>
        </w:rPr>
      </w:pPr>
      <w:r>
        <w:rPr>
          <w:rStyle w:val="Voetnootmarkering"/>
        </w:rPr>
        <w:footnoteRef/>
      </w:r>
      <w:r w:rsidRPr="00F376A1">
        <w:rPr>
          <w:lang w:val="fr-BE"/>
        </w:rPr>
        <w:t xml:space="preserve"> </w:t>
      </w:r>
      <w:hyperlink r:id="rId7" w:history="1">
        <w:r w:rsidRPr="00A87E75">
          <w:rPr>
            <w:rStyle w:val="Hyperlink"/>
            <w:rFonts w:asciiTheme="minorHAnsi" w:hAnsiTheme="minorHAnsi" w:cstheme="minorHAnsi"/>
            <w:sz w:val="16"/>
            <w:szCs w:val="16"/>
            <w:lang w:val="fr-BE"/>
          </w:rPr>
          <w:t>http://eur-lex.europa.eu/legal-content/EN/TXT/PDF/?uri=CELEX:32016L1148&amp;from=EN</w:t>
        </w:r>
      </w:hyperlink>
    </w:p>
  </w:footnote>
  <w:footnote w:id="8">
    <w:p w14:paraId="0352D859" w14:textId="1C427765" w:rsidR="00F62B00" w:rsidRPr="00F376A1" w:rsidRDefault="00F62B00">
      <w:pPr>
        <w:pStyle w:val="Voetnoottekst"/>
        <w:rPr>
          <w:lang w:val="fr-BE"/>
        </w:rPr>
      </w:pPr>
      <w:r>
        <w:rPr>
          <w:rStyle w:val="Voetnootmarkering"/>
        </w:rPr>
        <w:footnoteRef/>
      </w:r>
      <w:r w:rsidRPr="00F376A1">
        <w:rPr>
          <w:lang w:val="fr-BE"/>
        </w:rPr>
        <w:t xml:space="preserve"> </w:t>
      </w:r>
      <w:hyperlink r:id="rId8" w:history="1">
        <w:r w:rsidRPr="00A87E75">
          <w:rPr>
            <w:rStyle w:val="Hyperlink"/>
            <w:rFonts w:asciiTheme="minorHAnsi" w:hAnsiTheme="minorHAnsi" w:cstheme="minorHAnsi"/>
            <w:sz w:val="16"/>
            <w:szCs w:val="16"/>
            <w:lang w:val="fr-BE"/>
          </w:rPr>
          <w:t>https://nordicapis.com/why-oauth-2-0-is-vital-to-iot-security/</w:t>
        </w:r>
      </w:hyperlink>
    </w:p>
  </w:footnote>
  <w:footnote w:id="9">
    <w:p w14:paraId="45B2278B" w14:textId="4E7BC17F" w:rsidR="00F62B00" w:rsidRDefault="00F62B00">
      <w:pPr>
        <w:pStyle w:val="Voetnoottekst"/>
      </w:pPr>
      <w:r>
        <w:rPr>
          <w:rStyle w:val="Voetnootmarkering"/>
        </w:rPr>
        <w:footnoteRef/>
      </w:r>
      <w:r>
        <w:t xml:space="preserve"> </w:t>
      </w:r>
      <w:r>
        <w:rPr>
          <w:sz w:val="16"/>
        </w:rPr>
        <w:t>We keep</w:t>
      </w:r>
      <w:r w:rsidRPr="005A1B51">
        <w:rPr>
          <w:sz w:val="16"/>
        </w:rPr>
        <w:t xml:space="preserve"> the </w:t>
      </w:r>
      <w:r>
        <w:rPr>
          <w:sz w:val="16"/>
        </w:rPr>
        <w:t>section names</w:t>
      </w:r>
      <w:r w:rsidRPr="005A1B51">
        <w:rPr>
          <w:sz w:val="16"/>
        </w:rPr>
        <w:t xml:space="preserve"> of the official MSP Evaluation Report </w:t>
      </w:r>
      <w:r>
        <w:rPr>
          <w:sz w:val="16"/>
        </w:rPr>
        <w:t>in order to ease the</w:t>
      </w:r>
      <w:r w:rsidRPr="005A1B51">
        <w:rPr>
          <w:sz w:val="16"/>
        </w:rPr>
        <w:t xml:space="preserve"> re-use </w:t>
      </w:r>
      <w:r>
        <w:rPr>
          <w:sz w:val="16"/>
        </w:rPr>
        <w:t>of information</w:t>
      </w:r>
    </w:p>
  </w:footnote>
  <w:footnote w:id="10">
    <w:p w14:paraId="6EB33BA5" w14:textId="301EEDA1" w:rsidR="00F62B00" w:rsidRPr="006309C2" w:rsidRDefault="00F62B00" w:rsidP="006309C2">
      <w:pPr>
        <w:pStyle w:val="Voetnoottekst"/>
        <w:spacing w:after="0"/>
        <w:ind w:left="340" w:hanging="340"/>
        <w:rPr>
          <w:sz w:val="16"/>
        </w:rPr>
      </w:pPr>
      <w:r w:rsidRPr="006309C2">
        <w:rPr>
          <w:rStyle w:val="Voetnootmarkering"/>
          <w:sz w:val="16"/>
        </w:rPr>
        <w:footnoteRef/>
      </w:r>
      <w:r w:rsidRPr="006309C2">
        <w:rPr>
          <w:sz w:val="16"/>
        </w:rPr>
        <w:t xml:space="preserve"> Regulation (EU) No. 1025/2012 of the European Parliament and of the Council of 25 October 2012 on European Standardisation. OJ L 316/12 of 14.11.2012</w:t>
      </w:r>
    </w:p>
  </w:footnote>
  <w:footnote w:id="11">
    <w:p w14:paraId="259A72C9" w14:textId="68FE7502" w:rsidR="00F62B00" w:rsidRPr="004D48FD" w:rsidRDefault="00F62B00" w:rsidP="004D48FD">
      <w:pPr>
        <w:pStyle w:val="Voetnoottekst"/>
        <w:spacing w:after="0"/>
        <w:ind w:left="340" w:hanging="340"/>
        <w:rPr>
          <w:lang w:val="en-US"/>
        </w:rPr>
      </w:pPr>
      <w:r w:rsidRPr="00CE1111">
        <w:rPr>
          <w:rStyle w:val="Voetnootmarkering"/>
        </w:rPr>
        <w:footnoteRef/>
      </w:r>
      <w:r w:rsidRPr="004D48FD">
        <w:rPr>
          <w:sz w:val="16"/>
        </w:rPr>
        <w:t xml:space="preserve"> </w:t>
      </w:r>
      <w:hyperlink r:id="rId9" w:history="1">
        <w:r w:rsidRPr="004D48FD">
          <w:rPr>
            <w:rStyle w:val="Hyperlink"/>
            <w:rFonts w:asciiTheme="minorHAnsi" w:hAnsiTheme="minorHAnsi" w:cstheme="minorHAnsi"/>
            <w:sz w:val="16"/>
            <w:szCs w:val="16"/>
          </w:rPr>
          <w:t>https://www.w3.org/TR/</w:t>
        </w:r>
        <w:r>
          <w:rPr>
            <w:rStyle w:val="Hyperlink"/>
            <w:rFonts w:asciiTheme="minorHAnsi" w:hAnsiTheme="minorHAnsi" w:cstheme="minorHAnsi"/>
            <w:sz w:val="16"/>
            <w:szCs w:val="16"/>
          </w:rPr>
          <w:t>OAUTH 2.0</w:t>
        </w:r>
        <w:r w:rsidRPr="004D48FD">
          <w:rPr>
            <w:rStyle w:val="Hyperlink"/>
            <w:rFonts w:asciiTheme="minorHAnsi" w:hAnsiTheme="minorHAnsi" w:cstheme="minorHAnsi"/>
            <w:sz w:val="16"/>
            <w:szCs w:val="16"/>
          </w:rPr>
          <w:t>11/</w:t>
        </w:r>
      </w:hyperlink>
    </w:p>
  </w:footnote>
  <w:footnote w:id="12">
    <w:p w14:paraId="621F5084" w14:textId="1D2FE9D5" w:rsidR="003B315C" w:rsidRDefault="003B315C">
      <w:pPr>
        <w:pStyle w:val="Voetnoottekst"/>
      </w:pPr>
      <w:r>
        <w:rPr>
          <w:rStyle w:val="Voetnootmarkering"/>
        </w:rPr>
        <w:footnoteRef/>
      </w:r>
      <w:r>
        <w:t xml:space="preserve"> </w:t>
      </w:r>
      <w:hyperlink r:id="rId10" w:anchor="section-1" w:history="1">
        <w:r w:rsidRPr="00CE1111">
          <w:rPr>
            <w:rStyle w:val="Hyperlink"/>
            <w:sz w:val="16"/>
            <w:szCs w:val="16"/>
          </w:rPr>
          <w:t>https://tools.ietf.org/html/rfc6750#section-1</w:t>
        </w:r>
      </w:hyperlink>
      <w:r>
        <w:t xml:space="preserve"> </w:t>
      </w:r>
    </w:p>
  </w:footnote>
  <w:footnote w:id="13">
    <w:p w14:paraId="7AF72428" w14:textId="3C714F1C" w:rsidR="00F62B00" w:rsidRPr="002E15B7" w:rsidRDefault="00F62B00" w:rsidP="00F376A1">
      <w:r>
        <w:rPr>
          <w:rStyle w:val="Voetnootmarkering"/>
        </w:rPr>
        <w:footnoteRef/>
      </w:r>
      <w:r>
        <w:t xml:space="preserve"> </w:t>
      </w:r>
      <w:hyperlink r:id="rId11" w:history="1">
        <w:r w:rsidRPr="00F376A1">
          <w:rPr>
            <w:rStyle w:val="Hyperlink"/>
            <w:rFonts w:asciiTheme="minorHAnsi" w:eastAsia="Calibri" w:hAnsiTheme="minorHAnsi" w:cstheme="minorHAnsi"/>
            <w:sz w:val="16"/>
            <w:szCs w:val="16"/>
            <w:lang w:eastAsia="zh-CN"/>
          </w:rPr>
          <w:t>https://developer.linkedin.com/docs/</w:t>
        </w:r>
        <w:r>
          <w:rPr>
            <w:rStyle w:val="Hyperlink"/>
            <w:rFonts w:asciiTheme="minorHAnsi" w:eastAsia="Calibri" w:hAnsiTheme="minorHAnsi" w:cstheme="minorHAnsi"/>
            <w:sz w:val="16"/>
            <w:szCs w:val="16"/>
            <w:lang w:eastAsia="zh-CN"/>
          </w:rPr>
          <w:t>OAuth</w:t>
        </w:r>
        <w:r w:rsidRPr="00F376A1">
          <w:rPr>
            <w:rStyle w:val="Hyperlink"/>
            <w:rFonts w:asciiTheme="minorHAnsi" w:eastAsia="Calibri" w:hAnsiTheme="minorHAnsi" w:cstheme="minorHAnsi"/>
            <w:sz w:val="16"/>
            <w:szCs w:val="16"/>
            <w:lang w:eastAsia="zh-CN"/>
          </w:rPr>
          <w:t>2</w:t>
        </w:r>
      </w:hyperlink>
    </w:p>
  </w:footnote>
  <w:footnote w:id="14">
    <w:p w14:paraId="479B8994" w14:textId="3494451F" w:rsidR="00F62B00" w:rsidRPr="00F376A1" w:rsidRDefault="00F62B00">
      <w:pPr>
        <w:pStyle w:val="Voetnoottekst"/>
        <w:rPr>
          <w:lang w:val="en-US"/>
        </w:rPr>
      </w:pPr>
      <w:r>
        <w:rPr>
          <w:rStyle w:val="Voetnootmarkering"/>
        </w:rPr>
        <w:footnoteRef/>
      </w:r>
      <w:r>
        <w:t xml:space="preserve"> </w:t>
      </w:r>
      <w:hyperlink r:id="rId12" w:history="1">
        <w:r w:rsidRPr="00F376A1">
          <w:rPr>
            <w:rStyle w:val="Hyperlink"/>
            <w:rFonts w:asciiTheme="minorHAnsi" w:hAnsiTheme="minorHAnsi" w:cstheme="minorHAnsi"/>
            <w:sz w:val="16"/>
            <w:szCs w:val="16"/>
          </w:rPr>
          <w:t>https://developers.facebook.com/docs/facebook-login/manually-build-a-login-flow</w:t>
        </w:r>
      </w:hyperlink>
    </w:p>
  </w:footnote>
  <w:footnote w:id="15">
    <w:p w14:paraId="32A97C2B" w14:textId="232FC412" w:rsidR="00F62B00" w:rsidRPr="00F376A1" w:rsidRDefault="00F62B00">
      <w:pPr>
        <w:pStyle w:val="Voetnoottekst"/>
        <w:rPr>
          <w:lang w:val="en-US"/>
        </w:rPr>
      </w:pPr>
      <w:r>
        <w:rPr>
          <w:rStyle w:val="Voetnootmarkering"/>
        </w:rPr>
        <w:footnoteRef/>
      </w:r>
      <w:r>
        <w:t xml:space="preserve"> </w:t>
      </w:r>
      <w:hyperlink r:id="rId13" w:history="1">
        <w:r w:rsidRPr="00F376A1">
          <w:rPr>
            <w:rStyle w:val="Hyperlink"/>
            <w:rFonts w:asciiTheme="minorHAnsi" w:hAnsiTheme="minorHAnsi" w:cstheme="minorHAnsi"/>
            <w:sz w:val="16"/>
            <w:szCs w:val="16"/>
          </w:rPr>
          <w:t>https://developer.apple.com/documentation/accounts/acaccountcredential/1507896-init</w:t>
        </w:r>
      </w:hyperlink>
    </w:p>
  </w:footnote>
  <w:footnote w:id="16">
    <w:p w14:paraId="119D19C3" w14:textId="046AB21D" w:rsidR="00F62B00" w:rsidRPr="00F376A1" w:rsidRDefault="00F62B00">
      <w:pPr>
        <w:pStyle w:val="Voetnoottekst"/>
        <w:rPr>
          <w:lang w:val="en-US"/>
        </w:rPr>
      </w:pPr>
      <w:r>
        <w:rPr>
          <w:rStyle w:val="Voetnootmarkering"/>
        </w:rPr>
        <w:footnoteRef/>
      </w:r>
      <w:r>
        <w:t xml:space="preserve"> </w:t>
      </w:r>
      <w:hyperlink r:id="rId14" w:history="1">
        <w:r w:rsidRPr="00F376A1">
          <w:rPr>
            <w:rStyle w:val="Hyperlink"/>
            <w:rFonts w:asciiTheme="minorHAnsi" w:hAnsiTheme="minorHAnsi" w:cstheme="minorHAnsi"/>
            <w:sz w:val="16"/>
            <w:szCs w:val="16"/>
          </w:rPr>
          <w:t>https://developers.google.com/identity/protocols/</w:t>
        </w:r>
        <w:r>
          <w:rPr>
            <w:rStyle w:val="Hyperlink"/>
            <w:rFonts w:asciiTheme="minorHAnsi" w:hAnsiTheme="minorHAnsi" w:cstheme="minorHAnsi"/>
            <w:sz w:val="16"/>
            <w:szCs w:val="16"/>
          </w:rPr>
          <w:t>OAuth</w:t>
        </w:r>
        <w:r w:rsidRPr="00F376A1">
          <w:rPr>
            <w:rStyle w:val="Hyperlink"/>
            <w:rFonts w:asciiTheme="minorHAnsi" w:hAnsiTheme="minorHAnsi" w:cstheme="minorHAnsi"/>
            <w:sz w:val="16"/>
            <w:szCs w:val="16"/>
          </w:rPr>
          <w:t>2</w:t>
        </w:r>
      </w:hyperlink>
    </w:p>
  </w:footnote>
  <w:footnote w:id="17">
    <w:p w14:paraId="51600FD2" w14:textId="7AE18118" w:rsidR="00F62B00" w:rsidRPr="00F376A1" w:rsidRDefault="00F62B00">
      <w:pPr>
        <w:pStyle w:val="Voetnoottekst"/>
        <w:rPr>
          <w:lang w:val="en-US"/>
        </w:rPr>
      </w:pPr>
      <w:r>
        <w:rPr>
          <w:rStyle w:val="Voetnootmarkering"/>
        </w:rPr>
        <w:footnoteRef/>
      </w:r>
      <w:r>
        <w:t xml:space="preserve"> </w:t>
      </w:r>
      <w:hyperlink r:id="rId15" w:history="1">
        <w:r w:rsidRPr="00F376A1">
          <w:rPr>
            <w:rStyle w:val="Hyperlink"/>
            <w:rFonts w:asciiTheme="minorHAnsi" w:hAnsiTheme="minorHAnsi" w:cstheme="minorHAnsi"/>
            <w:sz w:val="16"/>
            <w:szCs w:val="16"/>
          </w:rPr>
          <w:t>https://aws.amazon.com/es/blogs/compute/introducing-custom-authorizers-in-amazon-api-gateway/</w:t>
        </w:r>
      </w:hyperlink>
    </w:p>
  </w:footnote>
  <w:footnote w:id="18">
    <w:p w14:paraId="13802062" w14:textId="00CF3E71" w:rsidR="00F62B00" w:rsidRPr="00F376A1" w:rsidRDefault="00F62B00">
      <w:pPr>
        <w:pStyle w:val="Voetnoottekst"/>
        <w:rPr>
          <w:lang w:val="en-US"/>
        </w:rPr>
      </w:pPr>
      <w:r>
        <w:rPr>
          <w:rStyle w:val="Voetnootmarkering"/>
        </w:rPr>
        <w:footnoteRef/>
      </w:r>
      <w:r>
        <w:t xml:space="preserve"> </w:t>
      </w:r>
      <w:hyperlink r:id="rId16" w:history="1">
        <w:r w:rsidRPr="00F376A1">
          <w:rPr>
            <w:rStyle w:val="Hyperlink"/>
            <w:rFonts w:asciiTheme="minorHAnsi" w:hAnsiTheme="minorHAnsi" w:cstheme="minorHAnsi"/>
            <w:sz w:val="16"/>
            <w:szCs w:val="16"/>
          </w:rPr>
          <w:t>https://docs.microsoft.com/en-us/azure/active-directory/develop/active-directory-protocols-</w:t>
        </w:r>
        <w:r>
          <w:rPr>
            <w:rStyle w:val="Hyperlink"/>
            <w:rFonts w:asciiTheme="minorHAnsi" w:hAnsiTheme="minorHAnsi" w:cstheme="minorHAnsi"/>
            <w:sz w:val="16"/>
            <w:szCs w:val="16"/>
          </w:rPr>
          <w:t>OAuth</w:t>
        </w:r>
        <w:r w:rsidRPr="00F376A1">
          <w:rPr>
            <w:rStyle w:val="Hyperlink"/>
            <w:rFonts w:asciiTheme="minorHAnsi" w:hAnsiTheme="minorHAnsi" w:cstheme="minorHAnsi"/>
            <w:sz w:val="16"/>
            <w:szCs w:val="16"/>
          </w:rPr>
          <w:t>-code</w:t>
        </w:r>
      </w:hyperlink>
    </w:p>
  </w:footnote>
  <w:footnote w:id="19">
    <w:p w14:paraId="31E943AC" w14:textId="6AEC63F7" w:rsidR="00084C86" w:rsidRPr="00084C86" w:rsidRDefault="00084C86">
      <w:pPr>
        <w:pStyle w:val="Voetnoottekst"/>
      </w:pPr>
      <w:r>
        <w:rPr>
          <w:rStyle w:val="Voetnootmarkering"/>
        </w:rPr>
        <w:footnoteRef/>
      </w:r>
      <w:r>
        <w:t xml:space="preserve"> </w:t>
      </w:r>
      <w:hyperlink r:id="rId17" w:history="1">
        <w:r w:rsidRPr="00084C86">
          <w:rPr>
            <w:rStyle w:val="Hyperlink"/>
            <w:rFonts w:asciiTheme="minorHAnsi" w:hAnsiTheme="minorHAnsi" w:cstheme="minorHAnsi"/>
            <w:sz w:val="16"/>
            <w:szCs w:val="16"/>
          </w:rPr>
          <w:t>https://standards.cen.eu/</w:t>
        </w:r>
      </w:hyperlink>
    </w:p>
  </w:footnote>
  <w:footnote w:id="20">
    <w:p w14:paraId="7E00B6D3" w14:textId="5ED82C83" w:rsidR="00084C86" w:rsidRPr="00084C86" w:rsidRDefault="00084C86">
      <w:pPr>
        <w:pStyle w:val="Voetnoottekst"/>
      </w:pPr>
      <w:r>
        <w:rPr>
          <w:rStyle w:val="Voetnootmarkering"/>
        </w:rPr>
        <w:footnoteRef/>
      </w:r>
      <w:r>
        <w:t xml:space="preserve"> </w:t>
      </w:r>
      <w:hyperlink r:id="rId18" w:history="1">
        <w:r w:rsidRPr="00084C86">
          <w:rPr>
            <w:rStyle w:val="Hyperlink"/>
            <w:rFonts w:asciiTheme="minorHAnsi" w:hAnsiTheme="minorHAnsi" w:cstheme="minorHAnsi"/>
            <w:sz w:val="16"/>
            <w:szCs w:val="16"/>
          </w:rPr>
          <w:t>https://www.cenelec.eu/</w:t>
        </w:r>
      </w:hyperlink>
    </w:p>
  </w:footnote>
  <w:footnote w:id="21">
    <w:p w14:paraId="7674B30D" w14:textId="11119DAA" w:rsidR="00084C86" w:rsidRPr="00084C86" w:rsidRDefault="00084C86">
      <w:pPr>
        <w:pStyle w:val="Voetnoottekst"/>
      </w:pPr>
      <w:r>
        <w:rPr>
          <w:rStyle w:val="Voetnootmarkering"/>
        </w:rPr>
        <w:footnoteRef/>
      </w:r>
      <w:r>
        <w:t xml:space="preserve"> </w:t>
      </w:r>
      <w:hyperlink r:id="rId19" w:history="1">
        <w:r w:rsidRPr="00084C86">
          <w:rPr>
            <w:rStyle w:val="Hyperlink"/>
            <w:rFonts w:asciiTheme="minorHAnsi" w:hAnsiTheme="minorHAnsi" w:cstheme="minorHAnsi"/>
            <w:sz w:val="16"/>
            <w:szCs w:val="16"/>
          </w:rPr>
          <w:t>https://www.cencenelec.eu/standards/Sectors/ICT/Pages/default.aspx</w:t>
        </w:r>
      </w:hyperlink>
    </w:p>
  </w:footnote>
  <w:footnote w:id="22">
    <w:p w14:paraId="75D0A892" w14:textId="558F033D" w:rsidR="00F62B00" w:rsidRPr="004D48FD" w:rsidRDefault="00F62B00">
      <w:pPr>
        <w:pStyle w:val="Voetnoottekst"/>
        <w:rPr>
          <w:lang w:val="en-US"/>
        </w:rPr>
      </w:pPr>
      <w:r>
        <w:rPr>
          <w:rStyle w:val="Voetnootmarkering"/>
        </w:rPr>
        <w:footnoteRef/>
      </w:r>
      <w:r>
        <w:t xml:space="preserve"> </w:t>
      </w:r>
      <w:hyperlink r:id="rId20" w:history="1">
        <w:r w:rsidRPr="004D48FD">
          <w:rPr>
            <w:rStyle w:val="Hyperlink"/>
            <w:rFonts w:asciiTheme="minorHAnsi" w:hAnsiTheme="minorHAnsi" w:cstheme="minorHAnsi"/>
            <w:sz w:val="16"/>
            <w:szCs w:val="16"/>
          </w:rPr>
          <w:t>http://eur-lex.europa.eu/legal-content/EN/TXT/PDF/?uri=CELEX:32016L2102&amp;qid=1521731286208&amp;from=ES</w:t>
        </w:r>
      </w:hyperlink>
    </w:p>
  </w:footnote>
  <w:footnote w:id="23">
    <w:p w14:paraId="2C8E88A4" w14:textId="4BACBE52" w:rsidR="00F62B00" w:rsidRPr="003707F9" w:rsidRDefault="00F62B00">
      <w:pPr>
        <w:pStyle w:val="Voetnoottekst"/>
      </w:pPr>
      <w:r>
        <w:rPr>
          <w:rStyle w:val="Voetnootmarkering"/>
        </w:rPr>
        <w:footnoteRef/>
      </w:r>
      <w:hyperlink r:id="rId21" w:history="1">
        <w:r w:rsidRPr="004D48FD">
          <w:rPr>
            <w:rStyle w:val="Hyperlink"/>
            <w:rFonts w:asciiTheme="minorHAnsi" w:hAnsiTheme="minorHAnsi" w:cstheme="minorHAnsi"/>
            <w:sz w:val="16"/>
            <w:szCs w:val="16"/>
          </w:rPr>
          <w:t>https://www.enisa.europa.eu/publications/standards-and-tools-for-exchange-and-processing-of-actionable-information/at_download/fullReport</w:t>
        </w:r>
      </w:hyperlink>
    </w:p>
  </w:footnote>
  <w:footnote w:id="24">
    <w:p w14:paraId="187F4781" w14:textId="0DF2C158" w:rsidR="00F62B00" w:rsidRPr="004D48FD" w:rsidRDefault="00F62B00">
      <w:pPr>
        <w:pStyle w:val="Voetnoottekst"/>
        <w:rPr>
          <w:lang w:val="en-US"/>
        </w:rPr>
      </w:pPr>
      <w:r>
        <w:rPr>
          <w:rStyle w:val="Voetnootmarkering"/>
        </w:rPr>
        <w:footnoteRef/>
      </w:r>
      <w:r>
        <w:t xml:space="preserve"> </w:t>
      </w:r>
      <w:hyperlink r:id="rId22" w:history="1">
        <w:r w:rsidRPr="004D48FD">
          <w:rPr>
            <w:rStyle w:val="Hyperlink"/>
            <w:rFonts w:asciiTheme="minorHAnsi" w:hAnsiTheme="minorHAnsi" w:cstheme="minorHAnsi"/>
            <w:sz w:val="16"/>
            <w:szCs w:val="16"/>
          </w:rPr>
          <w:t>https://www.enisa.europa.eu/publications/corporate-documents/enisa-programming-document-2018-2020</w:t>
        </w:r>
      </w:hyperlink>
    </w:p>
  </w:footnote>
  <w:footnote w:id="25">
    <w:p w14:paraId="3361C155" w14:textId="491E17FD" w:rsidR="00F62B00" w:rsidRPr="009D5A8F" w:rsidRDefault="00F62B00">
      <w:pPr>
        <w:pStyle w:val="Voetnoottekst"/>
      </w:pPr>
      <w:r>
        <w:rPr>
          <w:rStyle w:val="Voetnootmarkering"/>
        </w:rPr>
        <w:footnoteRef/>
      </w:r>
      <w:r w:rsidRPr="004D48FD">
        <w:rPr>
          <w:rStyle w:val="Hyperlink"/>
          <w:rFonts w:asciiTheme="minorHAnsi" w:hAnsiTheme="minorHAnsi" w:cstheme="minorHAnsi"/>
          <w:sz w:val="16"/>
          <w:szCs w:val="16"/>
        </w:rPr>
        <w:t xml:space="preserve"> </w:t>
      </w:r>
      <w:hyperlink r:id="rId23" w:history="1">
        <w:r w:rsidRPr="004D48FD">
          <w:rPr>
            <w:rStyle w:val="Hyperlink"/>
            <w:rFonts w:asciiTheme="minorHAnsi" w:hAnsiTheme="minorHAnsi" w:cstheme="minorHAnsi"/>
            <w:sz w:val="16"/>
            <w:szCs w:val="16"/>
          </w:rPr>
          <w:t>https://www.cencenelec.eu/News/Publications/Publications/WorkProgramme-2018_UK_acces.pdf</w:t>
        </w:r>
      </w:hyperlink>
    </w:p>
  </w:footnote>
  <w:footnote w:id="26">
    <w:p w14:paraId="613060BF" w14:textId="7F2AC2A8" w:rsidR="00F62B00" w:rsidRPr="00781C47" w:rsidRDefault="00F62B00">
      <w:pPr>
        <w:pStyle w:val="Voetnoottekst"/>
      </w:pPr>
      <w:r>
        <w:rPr>
          <w:rStyle w:val="Voetnootmarkering"/>
        </w:rPr>
        <w:footnoteRef/>
      </w:r>
      <w:r>
        <w:t xml:space="preserve"> </w:t>
      </w:r>
      <w:hyperlink r:id="rId24" w:history="1">
        <w:r w:rsidRPr="00F376A1">
          <w:rPr>
            <w:rStyle w:val="Hyperlink"/>
            <w:rFonts w:asciiTheme="minorHAnsi" w:hAnsiTheme="minorHAnsi" w:cstheme="minorHAnsi"/>
            <w:sz w:val="16"/>
            <w:szCs w:val="16"/>
          </w:rPr>
          <w:t>http://www.etsi.org/images/files/WorkProgramme/etsi-work-programme-2017-2018.pdf</w:t>
        </w:r>
      </w:hyperlink>
    </w:p>
  </w:footnote>
  <w:footnote w:id="27">
    <w:p w14:paraId="686E2851" w14:textId="1A07C3E5" w:rsidR="00F62B00" w:rsidRPr="009D5A8F" w:rsidRDefault="00F62B00">
      <w:pPr>
        <w:pStyle w:val="Voetnoottekst"/>
      </w:pPr>
      <w:r>
        <w:rPr>
          <w:rStyle w:val="Voetnootmarkering"/>
        </w:rPr>
        <w:footnoteRef/>
      </w:r>
      <w:r>
        <w:t xml:space="preserve"> </w:t>
      </w:r>
      <w:hyperlink r:id="rId25" w:history="1">
        <w:r w:rsidRPr="004D48FD">
          <w:rPr>
            <w:rStyle w:val="Hyperlink"/>
            <w:rFonts w:asciiTheme="minorHAnsi" w:hAnsiTheme="minorHAnsi" w:cstheme="minorHAnsi"/>
            <w:sz w:val="16"/>
            <w:szCs w:val="16"/>
          </w:rPr>
          <w:t>https://www.enisa.europa.eu/publications/corporate-documents/enisa-programming-document-2018-2020</w:t>
        </w:r>
      </w:hyperlink>
    </w:p>
  </w:footnote>
  <w:footnote w:id="28">
    <w:p w14:paraId="5856E926" w14:textId="2DD48B86" w:rsidR="00F62B00" w:rsidRPr="00F376A1" w:rsidRDefault="00F62B00">
      <w:pPr>
        <w:pStyle w:val="Voetnoottekst"/>
        <w:rPr>
          <w:lang w:val="en-US"/>
        </w:rPr>
      </w:pPr>
      <w:r>
        <w:rPr>
          <w:rStyle w:val="Voetnootmarkering"/>
        </w:rPr>
        <w:footnoteRef/>
      </w:r>
      <w:r>
        <w:t xml:space="preserve"> </w:t>
      </w:r>
      <w:hyperlink r:id="rId26" w:history="1">
        <w:r w:rsidRPr="00F376A1">
          <w:rPr>
            <w:rStyle w:val="Hyperlink"/>
            <w:rFonts w:asciiTheme="minorHAnsi" w:hAnsiTheme="minorHAnsi" w:cstheme="minorHAnsi"/>
            <w:sz w:val="16"/>
            <w:szCs w:val="16"/>
          </w:rPr>
          <w:t>https://www.ietf.org/</w:t>
        </w:r>
      </w:hyperlink>
    </w:p>
  </w:footnote>
  <w:footnote w:id="29">
    <w:p w14:paraId="749B63E9" w14:textId="7A90FE39" w:rsidR="00F62B00" w:rsidRPr="00F376A1" w:rsidRDefault="00F62B00">
      <w:pPr>
        <w:pStyle w:val="Voetnoottekst"/>
        <w:rPr>
          <w:lang w:val="en-US"/>
        </w:rPr>
      </w:pPr>
      <w:r>
        <w:rPr>
          <w:rStyle w:val="Voetnootmarkering"/>
        </w:rPr>
        <w:footnoteRef/>
      </w:r>
      <w:r>
        <w:t xml:space="preserve"> </w:t>
      </w:r>
      <w:hyperlink r:id="rId27" w:history="1">
        <w:r w:rsidRPr="00F376A1">
          <w:rPr>
            <w:rStyle w:val="Hyperlink"/>
            <w:rFonts w:asciiTheme="minorHAnsi" w:hAnsiTheme="minorHAnsi" w:cstheme="minorHAnsi"/>
            <w:sz w:val="16"/>
            <w:szCs w:val="16"/>
          </w:rPr>
          <w:t>https://www.ietf.org/standards/process/</w:t>
        </w:r>
      </w:hyperlink>
    </w:p>
  </w:footnote>
  <w:footnote w:id="30">
    <w:p w14:paraId="56F312D7" w14:textId="2220612D" w:rsidR="00F62B00" w:rsidRPr="00F376A1" w:rsidRDefault="00F62B00">
      <w:pPr>
        <w:pStyle w:val="Voetnoottekst"/>
        <w:rPr>
          <w:lang w:val="en-US"/>
        </w:rPr>
      </w:pPr>
      <w:r>
        <w:rPr>
          <w:rStyle w:val="Voetnootmarkering"/>
        </w:rPr>
        <w:footnoteRef/>
      </w:r>
      <w:r>
        <w:t xml:space="preserve"> </w:t>
      </w:r>
      <w:hyperlink r:id="rId28" w:history="1">
        <w:r w:rsidRPr="00F376A1">
          <w:rPr>
            <w:rStyle w:val="Hyperlink"/>
            <w:rFonts w:asciiTheme="minorHAnsi" w:hAnsiTheme="minorHAnsi" w:cstheme="minorHAnsi"/>
            <w:sz w:val="16"/>
            <w:szCs w:val="16"/>
          </w:rPr>
          <w:t>https://www.rfc-editor.org/rfc/rfc2026.txt</w:t>
        </w:r>
      </w:hyperlink>
    </w:p>
  </w:footnote>
  <w:footnote w:id="31">
    <w:p w14:paraId="3E1F5997" w14:textId="27D1FE97" w:rsidR="00F62B00" w:rsidRPr="00F376A1" w:rsidRDefault="00F62B00">
      <w:pPr>
        <w:pStyle w:val="Voetnoottekst"/>
        <w:rPr>
          <w:lang w:val="en-US"/>
        </w:rPr>
      </w:pPr>
      <w:r>
        <w:rPr>
          <w:rStyle w:val="Voetnootmarkering"/>
        </w:rPr>
        <w:footnoteRef/>
      </w:r>
      <w:r>
        <w:t xml:space="preserve"> </w:t>
      </w:r>
      <w:hyperlink r:id="rId29" w:history="1">
        <w:r w:rsidRPr="00F376A1">
          <w:rPr>
            <w:rStyle w:val="Hyperlink"/>
            <w:rFonts w:asciiTheme="minorHAnsi" w:hAnsiTheme="minorHAnsi" w:cstheme="minorHAnsi"/>
            <w:sz w:val="16"/>
            <w:szCs w:val="16"/>
          </w:rPr>
          <w:t>https://www.ietf.org/standards/rfcs/</w:t>
        </w:r>
      </w:hyperlink>
    </w:p>
  </w:footnote>
  <w:footnote w:id="32">
    <w:p w14:paraId="45B5126F" w14:textId="77777777" w:rsidR="00F62B00" w:rsidRPr="00CB0CF3" w:rsidRDefault="00F62B00" w:rsidP="00812E2A">
      <w:pPr>
        <w:pStyle w:val="Voetnoottekst"/>
        <w:rPr>
          <w:lang w:val="en-US"/>
        </w:rPr>
      </w:pPr>
      <w:r>
        <w:rPr>
          <w:rStyle w:val="Voetnootmarkering"/>
        </w:rPr>
        <w:footnoteRef/>
      </w:r>
      <w:r>
        <w:t xml:space="preserve"> </w:t>
      </w:r>
      <w:hyperlink r:id="rId30" w:history="1">
        <w:r w:rsidRPr="00CB0CF3">
          <w:rPr>
            <w:rStyle w:val="Hyperlink"/>
            <w:rFonts w:asciiTheme="minorHAnsi" w:hAnsiTheme="minorHAnsi" w:cstheme="minorHAnsi"/>
            <w:sz w:val="16"/>
            <w:szCs w:val="16"/>
          </w:rPr>
          <w:t>https://www.rfc-editor.org/rfc/rfc2026.txt</w:t>
        </w:r>
      </w:hyperlink>
    </w:p>
  </w:footnote>
  <w:footnote w:id="33">
    <w:p w14:paraId="66763287" w14:textId="413FEC32" w:rsidR="00F62B00" w:rsidRPr="00E40F74" w:rsidRDefault="00F62B00">
      <w:pPr>
        <w:pStyle w:val="Voetnoottekst"/>
      </w:pPr>
      <w:r>
        <w:rPr>
          <w:rStyle w:val="Voetnootmarkering"/>
        </w:rPr>
        <w:footnoteRef/>
      </w:r>
      <w:r>
        <w:t xml:space="preserve"> </w:t>
      </w:r>
      <w:hyperlink r:id="rId31" w:history="1">
        <w:r w:rsidRPr="00F376A1">
          <w:rPr>
            <w:rStyle w:val="Hyperlink"/>
            <w:rFonts w:asciiTheme="minorHAnsi" w:hAnsiTheme="minorHAnsi" w:cstheme="minorHAnsi"/>
            <w:sz w:val="16"/>
            <w:szCs w:val="16"/>
          </w:rPr>
          <w:t>https://www.ietf.org/standards/</w:t>
        </w:r>
      </w:hyperlink>
    </w:p>
  </w:footnote>
  <w:footnote w:id="34">
    <w:p w14:paraId="7F7E003A" w14:textId="18E0AEAC" w:rsidR="00F62B00" w:rsidRPr="00E40F74" w:rsidRDefault="00F62B00">
      <w:pPr>
        <w:pStyle w:val="Voetnoottekst"/>
      </w:pPr>
      <w:r>
        <w:rPr>
          <w:rStyle w:val="Voetnootmarkering"/>
        </w:rPr>
        <w:footnoteRef/>
      </w:r>
      <w:r>
        <w:t xml:space="preserve"> </w:t>
      </w:r>
      <w:hyperlink r:id="rId32" w:history="1">
        <w:r w:rsidRPr="00F376A1">
          <w:rPr>
            <w:rStyle w:val="Hyperlink"/>
            <w:rFonts w:asciiTheme="minorHAnsi" w:hAnsiTheme="minorHAnsi" w:cstheme="minorHAnsi"/>
            <w:sz w:val="16"/>
            <w:szCs w:val="16"/>
          </w:rPr>
          <w:t>https://datatracker.ietf.org/</w:t>
        </w:r>
      </w:hyperlink>
    </w:p>
  </w:footnote>
  <w:footnote w:id="35">
    <w:p w14:paraId="1B061E3E" w14:textId="55B814A0" w:rsidR="00F62B00" w:rsidRPr="001D515D" w:rsidRDefault="00F62B00">
      <w:pPr>
        <w:pStyle w:val="Voetnoottekst"/>
      </w:pPr>
      <w:r>
        <w:rPr>
          <w:rStyle w:val="Voetnootmarkering"/>
        </w:rPr>
        <w:footnoteRef/>
      </w:r>
      <w:r w:rsidRPr="001D515D">
        <w:t xml:space="preserve"> </w:t>
      </w:r>
      <w:hyperlink r:id="rId33" w:history="1">
        <w:r w:rsidRPr="001D515D">
          <w:rPr>
            <w:rStyle w:val="Hyperlink"/>
            <w:rFonts w:asciiTheme="minorHAnsi" w:hAnsiTheme="minorHAnsi" w:cstheme="minorHAnsi"/>
            <w:sz w:val="16"/>
            <w:szCs w:val="16"/>
          </w:rPr>
          <w:t>https://www.ietf.org/standards/ids/</w:t>
        </w:r>
      </w:hyperlink>
    </w:p>
  </w:footnote>
  <w:footnote w:id="36">
    <w:p w14:paraId="07064823" w14:textId="6E6C5AF9" w:rsidR="00F62B00" w:rsidRPr="00F376A1" w:rsidRDefault="00F62B00">
      <w:pPr>
        <w:pStyle w:val="Voetnoottekst"/>
        <w:rPr>
          <w:lang w:val="en-US"/>
        </w:rPr>
      </w:pPr>
      <w:r>
        <w:rPr>
          <w:rStyle w:val="Voetnootmarkering"/>
        </w:rPr>
        <w:footnoteRef/>
      </w:r>
      <w:r>
        <w:t xml:space="preserve"> </w:t>
      </w:r>
      <w:hyperlink r:id="rId34" w:history="1">
        <w:r w:rsidRPr="00F376A1">
          <w:rPr>
            <w:rStyle w:val="Hyperlink"/>
            <w:rFonts w:asciiTheme="minorHAnsi" w:hAnsiTheme="minorHAnsi" w:cstheme="minorHAnsi"/>
            <w:sz w:val="16"/>
            <w:szCs w:val="16"/>
          </w:rPr>
          <w:t>https://www.rfc-editor.org/rfc/rfc2026.txt</w:t>
        </w:r>
      </w:hyperlink>
    </w:p>
  </w:footnote>
  <w:footnote w:id="37">
    <w:p w14:paraId="221A0188" w14:textId="051573B4" w:rsidR="00F62B00" w:rsidRPr="004D48FD" w:rsidRDefault="00F62B00">
      <w:pPr>
        <w:pStyle w:val="Voetnoottekst"/>
        <w:rPr>
          <w:lang w:val="en-US"/>
        </w:rPr>
      </w:pPr>
      <w:r>
        <w:rPr>
          <w:rStyle w:val="Voetnootmarkering"/>
        </w:rPr>
        <w:footnoteRef/>
      </w:r>
      <w:r>
        <w:t xml:space="preserve"> </w:t>
      </w:r>
      <w:r w:rsidR="00156499" w:rsidRPr="00CE1111">
        <w:rPr>
          <w:rStyle w:val="Hyperlink"/>
          <w:rFonts w:asciiTheme="minorHAnsi" w:hAnsiTheme="minorHAnsi" w:cstheme="minorHAnsi"/>
          <w:sz w:val="16"/>
          <w:szCs w:val="16"/>
        </w:rPr>
        <w:t>https://tools.ietf.org/html/rfc6749</w:t>
      </w:r>
    </w:p>
  </w:footnote>
  <w:footnote w:id="38">
    <w:p w14:paraId="00F7F763" w14:textId="6DBFFE8F" w:rsidR="001D515D" w:rsidRPr="00CE1111" w:rsidRDefault="00177040" w:rsidP="00177040">
      <w:pPr>
        <w:pStyle w:val="Voetnoottekst"/>
        <w:rPr>
          <w:lang w:val="en-US"/>
        </w:rPr>
      </w:pPr>
      <w:r>
        <w:rPr>
          <w:rStyle w:val="Voetnootmarkering"/>
        </w:rPr>
        <w:footnoteRef/>
      </w:r>
      <w:r w:rsidRPr="00CE1111">
        <w:rPr>
          <w:lang w:val="en-US"/>
        </w:rPr>
        <w:t xml:space="preserve"> </w:t>
      </w:r>
      <w:hyperlink r:id="rId35" w:history="1">
        <w:r w:rsidR="001D515D" w:rsidRPr="00CE1111">
          <w:rPr>
            <w:rStyle w:val="Hyperlink"/>
            <w:sz w:val="16"/>
            <w:lang w:val="en-US"/>
          </w:rPr>
          <w:t>https://tools.ietf.org/html/rfc6819</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28F1F" w14:textId="77777777" w:rsidR="006C23B1" w:rsidRDefault="006C23B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634C6" w14:textId="77777777" w:rsidR="006C23B1" w:rsidRDefault="006C23B1">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B4069" w14:textId="77777777" w:rsidR="006C23B1" w:rsidRDefault="006C23B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D086F98"/>
    <w:name w:val="WW8Num2"/>
    <w:lvl w:ilvl="0">
      <w:start w:val="1"/>
      <w:numFmt w:val="decimal"/>
      <w:lvlText w:val="3.2.%1."/>
      <w:lvlJc w:val="left"/>
      <w:pPr>
        <w:tabs>
          <w:tab w:val="num" w:pos="0"/>
        </w:tabs>
        <w:ind w:left="720" w:hanging="360"/>
      </w:pPr>
      <w:rPr>
        <w:rFonts w:hint="default"/>
      </w:rPr>
    </w:lvl>
  </w:abstractNum>
  <w:abstractNum w:abstractNumId="1" w15:restartNumberingAfterBreak="0">
    <w:nsid w:val="00000007"/>
    <w:multiLevelType w:val="multilevel"/>
    <w:tmpl w:val="00000007"/>
    <w:name w:val="WW8Num9"/>
    <w:lvl w:ilvl="0">
      <w:start w:val="1"/>
      <w:numFmt w:val="lowerRoman"/>
      <w:lvlText w:val="(%1)"/>
      <w:lvlJc w:val="left"/>
      <w:pPr>
        <w:tabs>
          <w:tab w:val="num" w:pos="1180"/>
        </w:tabs>
        <w:ind w:left="1180" w:hanging="360"/>
      </w:pPr>
      <w:rPr>
        <w:rFonts w:cs="Times New Roman"/>
      </w:rPr>
    </w:lvl>
    <w:lvl w:ilvl="1">
      <w:start w:val="1"/>
      <w:numFmt w:val="decimal"/>
      <w:lvlText w:val="%2."/>
      <w:lvlJc w:val="left"/>
      <w:pPr>
        <w:tabs>
          <w:tab w:val="num" w:pos="1540"/>
        </w:tabs>
        <w:ind w:left="1540" w:hanging="360"/>
      </w:pPr>
      <w:rPr>
        <w:rFonts w:cs="Times New Roman"/>
      </w:rPr>
    </w:lvl>
    <w:lvl w:ilvl="2">
      <w:start w:val="1"/>
      <w:numFmt w:val="decimal"/>
      <w:lvlText w:val="%3."/>
      <w:lvlJc w:val="left"/>
      <w:pPr>
        <w:tabs>
          <w:tab w:val="num" w:pos="1900"/>
        </w:tabs>
        <w:ind w:left="1900" w:hanging="360"/>
      </w:pPr>
      <w:rPr>
        <w:rFonts w:cs="Times New Roman"/>
      </w:rPr>
    </w:lvl>
    <w:lvl w:ilvl="3">
      <w:start w:val="1"/>
      <w:numFmt w:val="decimal"/>
      <w:lvlText w:val="%4."/>
      <w:lvlJc w:val="left"/>
      <w:pPr>
        <w:tabs>
          <w:tab w:val="num" w:pos="2260"/>
        </w:tabs>
        <w:ind w:left="2260" w:hanging="360"/>
      </w:pPr>
      <w:rPr>
        <w:rFonts w:cs="Times New Roman"/>
      </w:rPr>
    </w:lvl>
    <w:lvl w:ilvl="4">
      <w:start w:val="1"/>
      <w:numFmt w:val="decimal"/>
      <w:lvlText w:val="%5."/>
      <w:lvlJc w:val="left"/>
      <w:pPr>
        <w:tabs>
          <w:tab w:val="num" w:pos="2620"/>
        </w:tabs>
        <w:ind w:left="2620" w:hanging="360"/>
      </w:pPr>
      <w:rPr>
        <w:rFonts w:cs="Times New Roman"/>
      </w:rPr>
    </w:lvl>
    <w:lvl w:ilvl="5">
      <w:start w:val="1"/>
      <w:numFmt w:val="decimal"/>
      <w:lvlText w:val="%6."/>
      <w:lvlJc w:val="left"/>
      <w:pPr>
        <w:tabs>
          <w:tab w:val="num" w:pos="2980"/>
        </w:tabs>
        <w:ind w:left="2980" w:hanging="360"/>
      </w:pPr>
      <w:rPr>
        <w:rFonts w:cs="Times New Roman"/>
      </w:rPr>
    </w:lvl>
    <w:lvl w:ilvl="6">
      <w:start w:val="1"/>
      <w:numFmt w:val="decimal"/>
      <w:lvlText w:val="%7."/>
      <w:lvlJc w:val="left"/>
      <w:pPr>
        <w:tabs>
          <w:tab w:val="num" w:pos="3340"/>
        </w:tabs>
        <w:ind w:left="3340" w:hanging="360"/>
      </w:pPr>
      <w:rPr>
        <w:rFonts w:cs="Times New Roman"/>
      </w:rPr>
    </w:lvl>
    <w:lvl w:ilvl="7">
      <w:start w:val="1"/>
      <w:numFmt w:val="decimal"/>
      <w:lvlText w:val="%8."/>
      <w:lvlJc w:val="left"/>
      <w:pPr>
        <w:tabs>
          <w:tab w:val="num" w:pos="3700"/>
        </w:tabs>
        <w:ind w:left="3700" w:hanging="360"/>
      </w:pPr>
      <w:rPr>
        <w:rFonts w:cs="Times New Roman"/>
      </w:rPr>
    </w:lvl>
    <w:lvl w:ilvl="8">
      <w:start w:val="1"/>
      <w:numFmt w:val="decimal"/>
      <w:lvlText w:val="%9."/>
      <w:lvlJc w:val="left"/>
      <w:pPr>
        <w:tabs>
          <w:tab w:val="num" w:pos="4060"/>
        </w:tabs>
        <w:ind w:left="4060" w:hanging="360"/>
      </w:pPr>
      <w:rPr>
        <w:rFonts w:cs="Times New Roman"/>
      </w:rPr>
    </w:lvl>
  </w:abstractNum>
  <w:abstractNum w:abstractNumId="2" w15:restartNumberingAfterBreak="0">
    <w:nsid w:val="01281C8C"/>
    <w:multiLevelType w:val="multilevel"/>
    <w:tmpl w:val="1FEAB620"/>
    <w:lvl w:ilvl="0">
      <w:start w:val="1"/>
      <w:numFmt w:val="decimal"/>
      <w:lvlText w:val="%1."/>
      <w:lvlJc w:val="left"/>
      <w:pPr>
        <w:ind w:left="108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000" w:hanging="108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240" w:hanging="1440"/>
      </w:pPr>
      <w:rPr>
        <w:rFonts w:hint="default"/>
      </w:rPr>
    </w:lvl>
    <w:lvl w:ilvl="8">
      <w:start w:val="1"/>
      <w:numFmt w:val="decimal"/>
      <w:lvlText w:val="%1.%2.%3.%4.%5.%6.%7.%8.%9."/>
      <w:lvlJc w:val="left"/>
      <w:pPr>
        <w:ind w:left="14040" w:hanging="1800"/>
      </w:pPr>
      <w:rPr>
        <w:rFonts w:hint="default"/>
      </w:rPr>
    </w:lvl>
  </w:abstractNum>
  <w:abstractNum w:abstractNumId="3" w15:restartNumberingAfterBreak="0">
    <w:nsid w:val="06E77E35"/>
    <w:multiLevelType w:val="hybridMultilevel"/>
    <w:tmpl w:val="42C884EC"/>
    <w:lvl w:ilvl="0" w:tplc="86FA99F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F95D85"/>
    <w:multiLevelType w:val="multilevel"/>
    <w:tmpl w:val="1F98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C7868"/>
    <w:multiLevelType w:val="hybridMultilevel"/>
    <w:tmpl w:val="0D96883E"/>
    <w:lvl w:ilvl="0" w:tplc="13A2B5B4">
      <w:start w:val="1"/>
      <w:numFmt w:val="bullet"/>
      <w:lvlText w:val="-"/>
      <w:lvlJc w:val="left"/>
      <w:pPr>
        <w:tabs>
          <w:tab w:val="num" w:pos="720"/>
        </w:tabs>
        <w:ind w:left="720" w:hanging="360"/>
      </w:pPr>
      <w:rPr>
        <w:rFonts w:ascii="Times New Roman" w:hAnsi="Times New Roman" w:hint="default"/>
      </w:rPr>
    </w:lvl>
    <w:lvl w:ilvl="1" w:tplc="53CE7A5C" w:tentative="1">
      <w:start w:val="1"/>
      <w:numFmt w:val="bullet"/>
      <w:lvlText w:val="-"/>
      <w:lvlJc w:val="left"/>
      <w:pPr>
        <w:tabs>
          <w:tab w:val="num" w:pos="1440"/>
        </w:tabs>
        <w:ind w:left="1440" w:hanging="360"/>
      </w:pPr>
      <w:rPr>
        <w:rFonts w:ascii="Times New Roman" w:hAnsi="Times New Roman" w:hint="default"/>
      </w:rPr>
    </w:lvl>
    <w:lvl w:ilvl="2" w:tplc="AFF82F78" w:tentative="1">
      <w:start w:val="1"/>
      <w:numFmt w:val="bullet"/>
      <w:lvlText w:val="-"/>
      <w:lvlJc w:val="left"/>
      <w:pPr>
        <w:tabs>
          <w:tab w:val="num" w:pos="2160"/>
        </w:tabs>
        <w:ind w:left="2160" w:hanging="360"/>
      </w:pPr>
      <w:rPr>
        <w:rFonts w:ascii="Times New Roman" w:hAnsi="Times New Roman" w:hint="default"/>
      </w:rPr>
    </w:lvl>
    <w:lvl w:ilvl="3" w:tplc="5D98FFC2" w:tentative="1">
      <w:start w:val="1"/>
      <w:numFmt w:val="bullet"/>
      <w:lvlText w:val="-"/>
      <w:lvlJc w:val="left"/>
      <w:pPr>
        <w:tabs>
          <w:tab w:val="num" w:pos="2880"/>
        </w:tabs>
        <w:ind w:left="2880" w:hanging="360"/>
      </w:pPr>
      <w:rPr>
        <w:rFonts w:ascii="Times New Roman" w:hAnsi="Times New Roman" w:hint="default"/>
      </w:rPr>
    </w:lvl>
    <w:lvl w:ilvl="4" w:tplc="8110D776" w:tentative="1">
      <w:start w:val="1"/>
      <w:numFmt w:val="bullet"/>
      <w:lvlText w:val="-"/>
      <w:lvlJc w:val="left"/>
      <w:pPr>
        <w:tabs>
          <w:tab w:val="num" w:pos="3600"/>
        </w:tabs>
        <w:ind w:left="3600" w:hanging="360"/>
      </w:pPr>
      <w:rPr>
        <w:rFonts w:ascii="Times New Roman" w:hAnsi="Times New Roman" w:hint="default"/>
      </w:rPr>
    </w:lvl>
    <w:lvl w:ilvl="5" w:tplc="6CAEDF38" w:tentative="1">
      <w:start w:val="1"/>
      <w:numFmt w:val="bullet"/>
      <w:lvlText w:val="-"/>
      <w:lvlJc w:val="left"/>
      <w:pPr>
        <w:tabs>
          <w:tab w:val="num" w:pos="4320"/>
        </w:tabs>
        <w:ind w:left="4320" w:hanging="360"/>
      </w:pPr>
      <w:rPr>
        <w:rFonts w:ascii="Times New Roman" w:hAnsi="Times New Roman" w:hint="default"/>
      </w:rPr>
    </w:lvl>
    <w:lvl w:ilvl="6" w:tplc="E9785528" w:tentative="1">
      <w:start w:val="1"/>
      <w:numFmt w:val="bullet"/>
      <w:lvlText w:val="-"/>
      <w:lvlJc w:val="left"/>
      <w:pPr>
        <w:tabs>
          <w:tab w:val="num" w:pos="5040"/>
        </w:tabs>
        <w:ind w:left="5040" w:hanging="360"/>
      </w:pPr>
      <w:rPr>
        <w:rFonts w:ascii="Times New Roman" w:hAnsi="Times New Roman" w:hint="default"/>
      </w:rPr>
    </w:lvl>
    <w:lvl w:ilvl="7" w:tplc="743C952E" w:tentative="1">
      <w:start w:val="1"/>
      <w:numFmt w:val="bullet"/>
      <w:lvlText w:val="-"/>
      <w:lvlJc w:val="left"/>
      <w:pPr>
        <w:tabs>
          <w:tab w:val="num" w:pos="5760"/>
        </w:tabs>
        <w:ind w:left="5760" w:hanging="360"/>
      </w:pPr>
      <w:rPr>
        <w:rFonts w:ascii="Times New Roman" w:hAnsi="Times New Roman" w:hint="default"/>
      </w:rPr>
    </w:lvl>
    <w:lvl w:ilvl="8" w:tplc="6E36888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5132F0F"/>
    <w:multiLevelType w:val="hybridMultilevel"/>
    <w:tmpl w:val="3D92755C"/>
    <w:lvl w:ilvl="0" w:tplc="BC909588">
      <w:start w:val="1"/>
      <w:numFmt w:val="bullet"/>
      <w:lvlText w:val="-"/>
      <w:lvlJc w:val="left"/>
      <w:pPr>
        <w:tabs>
          <w:tab w:val="num" w:pos="720"/>
        </w:tabs>
        <w:ind w:left="720" w:hanging="360"/>
      </w:pPr>
      <w:rPr>
        <w:rFonts w:ascii="Times New Roman" w:hAnsi="Times New Roman" w:hint="default"/>
      </w:rPr>
    </w:lvl>
    <w:lvl w:ilvl="1" w:tplc="29FC2C8A" w:tentative="1">
      <w:start w:val="1"/>
      <w:numFmt w:val="bullet"/>
      <w:lvlText w:val="-"/>
      <w:lvlJc w:val="left"/>
      <w:pPr>
        <w:tabs>
          <w:tab w:val="num" w:pos="1440"/>
        </w:tabs>
        <w:ind w:left="1440" w:hanging="360"/>
      </w:pPr>
      <w:rPr>
        <w:rFonts w:ascii="Times New Roman" w:hAnsi="Times New Roman" w:hint="default"/>
      </w:rPr>
    </w:lvl>
    <w:lvl w:ilvl="2" w:tplc="08CAA8B2" w:tentative="1">
      <w:start w:val="1"/>
      <w:numFmt w:val="bullet"/>
      <w:lvlText w:val="-"/>
      <w:lvlJc w:val="left"/>
      <w:pPr>
        <w:tabs>
          <w:tab w:val="num" w:pos="2160"/>
        </w:tabs>
        <w:ind w:left="2160" w:hanging="360"/>
      </w:pPr>
      <w:rPr>
        <w:rFonts w:ascii="Times New Roman" w:hAnsi="Times New Roman" w:hint="default"/>
      </w:rPr>
    </w:lvl>
    <w:lvl w:ilvl="3" w:tplc="30E64934" w:tentative="1">
      <w:start w:val="1"/>
      <w:numFmt w:val="bullet"/>
      <w:lvlText w:val="-"/>
      <w:lvlJc w:val="left"/>
      <w:pPr>
        <w:tabs>
          <w:tab w:val="num" w:pos="2880"/>
        </w:tabs>
        <w:ind w:left="2880" w:hanging="360"/>
      </w:pPr>
      <w:rPr>
        <w:rFonts w:ascii="Times New Roman" w:hAnsi="Times New Roman" w:hint="default"/>
      </w:rPr>
    </w:lvl>
    <w:lvl w:ilvl="4" w:tplc="B5CE0CBE" w:tentative="1">
      <w:start w:val="1"/>
      <w:numFmt w:val="bullet"/>
      <w:lvlText w:val="-"/>
      <w:lvlJc w:val="left"/>
      <w:pPr>
        <w:tabs>
          <w:tab w:val="num" w:pos="3600"/>
        </w:tabs>
        <w:ind w:left="3600" w:hanging="360"/>
      </w:pPr>
      <w:rPr>
        <w:rFonts w:ascii="Times New Roman" w:hAnsi="Times New Roman" w:hint="default"/>
      </w:rPr>
    </w:lvl>
    <w:lvl w:ilvl="5" w:tplc="2144A782" w:tentative="1">
      <w:start w:val="1"/>
      <w:numFmt w:val="bullet"/>
      <w:lvlText w:val="-"/>
      <w:lvlJc w:val="left"/>
      <w:pPr>
        <w:tabs>
          <w:tab w:val="num" w:pos="4320"/>
        </w:tabs>
        <w:ind w:left="4320" w:hanging="360"/>
      </w:pPr>
      <w:rPr>
        <w:rFonts w:ascii="Times New Roman" w:hAnsi="Times New Roman" w:hint="default"/>
      </w:rPr>
    </w:lvl>
    <w:lvl w:ilvl="6" w:tplc="C55A9C00" w:tentative="1">
      <w:start w:val="1"/>
      <w:numFmt w:val="bullet"/>
      <w:lvlText w:val="-"/>
      <w:lvlJc w:val="left"/>
      <w:pPr>
        <w:tabs>
          <w:tab w:val="num" w:pos="5040"/>
        </w:tabs>
        <w:ind w:left="5040" w:hanging="360"/>
      </w:pPr>
      <w:rPr>
        <w:rFonts w:ascii="Times New Roman" w:hAnsi="Times New Roman" w:hint="default"/>
      </w:rPr>
    </w:lvl>
    <w:lvl w:ilvl="7" w:tplc="5AD28970" w:tentative="1">
      <w:start w:val="1"/>
      <w:numFmt w:val="bullet"/>
      <w:lvlText w:val="-"/>
      <w:lvlJc w:val="left"/>
      <w:pPr>
        <w:tabs>
          <w:tab w:val="num" w:pos="5760"/>
        </w:tabs>
        <w:ind w:left="5760" w:hanging="360"/>
      </w:pPr>
      <w:rPr>
        <w:rFonts w:ascii="Times New Roman" w:hAnsi="Times New Roman" w:hint="default"/>
      </w:rPr>
    </w:lvl>
    <w:lvl w:ilvl="8" w:tplc="05C0FCC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D6A2255"/>
    <w:multiLevelType w:val="hybridMultilevel"/>
    <w:tmpl w:val="DFD47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4D0CB6"/>
    <w:multiLevelType w:val="hybridMultilevel"/>
    <w:tmpl w:val="914480AA"/>
    <w:lvl w:ilvl="0" w:tplc="9D2042F2">
      <w:start w:val="1"/>
      <w:numFmt w:val="bullet"/>
      <w:lvlText w:val="-"/>
      <w:lvlJc w:val="left"/>
      <w:pPr>
        <w:tabs>
          <w:tab w:val="num" w:pos="720"/>
        </w:tabs>
        <w:ind w:left="720" w:hanging="360"/>
      </w:pPr>
      <w:rPr>
        <w:rFonts w:ascii="Times New Roman" w:hAnsi="Times New Roman" w:hint="default"/>
      </w:rPr>
    </w:lvl>
    <w:lvl w:ilvl="1" w:tplc="CF3CF0DC">
      <w:start w:val="1"/>
      <w:numFmt w:val="bullet"/>
      <w:lvlText w:val="-"/>
      <w:lvlJc w:val="left"/>
      <w:pPr>
        <w:tabs>
          <w:tab w:val="num" w:pos="1440"/>
        </w:tabs>
        <w:ind w:left="1440" w:hanging="360"/>
      </w:pPr>
      <w:rPr>
        <w:rFonts w:ascii="Times New Roman" w:hAnsi="Times New Roman" w:hint="default"/>
      </w:rPr>
    </w:lvl>
    <w:lvl w:ilvl="2" w:tplc="6A5CE390">
      <w:start w:val="1"/>
      <w:numFmt w:val="lowerLetter"/>
      <w:lvlText w:val="%3)"/>
      <w:lvlJc w:val="left"/>
      <w:pPr>
        <w:tabs>
          <w:tab w:val="num" w:pos="2160"/>
        </w:tabs>
        <w:ind w:left="2160" w:hanging="360"/>
      </w:pPr>
      <w:rPr>
        <w:rFonts w:hint="default"/>
        <w:b/>
      </w:rPr>
    </w:lvl>
    <w:lvl w:ilvl="3" w:tplc="2174C602">
      <w:start w:val="1"/>
      <w:numFmt w:val="bullet"/>
      <w:lvlText w:val="-"/>
      <w:lvlJc w:val="left"/>
      <w:pPr>
        <w:tabs>
          <w:tab w:val="num" w:pos="2880"/>
        </w:tabs>
        <w:ind w:left="2880" w:hanging="360"/>
      </w:pPr>
      <w:rPr>
        <w:rFonts w:ascii="Times New Roman" w:hAnsi="Times New Roman" w:hint="default"/>
      </w:rPr>
    </w:lvl>
    <w:lvl w:ilvl="4" w:tplc="E0583E3E">
      <w:start w:val="1"/>
      <w:numFmt w:val="bullet"/>
      <w:lvlText w:val="-"/>
      <w:lvlJc w:val="left"/>
      <w:pPr>
        <w:tabs>
          <w:tab w:val="num" w:pos="3600"/>
        </w:tabs>
        <w:ind w:left="3600" w:hanging="360"/>
      </w:pPr>
      <w:rPr>
        <w:rFonts w:ascii="Times New Roman" w:hAnsi="Times New Roman" w:hint="default"/>
      </w:rPr>
    </w:lvl>
    <w:lvl w:ilvl="5" w:tplc="1DD26D8E" w:tentative="1">
      <w:start w:val="1"/>
      <w:numFmt w:val="bullet"/>
      <w:lvlText w:val="-"/>
      <w:lvlJc w:val="left"/>
      <w:pPr>
        <w:tabs>
          <w:tab w:val="num" w:pos="4320"/>
        </w:tabs>
        <w:ind w:left="4320" w:hanging="360"/>
      </w:pPr>
      <w:rPr>
        <w:rFonts w:ascii="Times New Roman" w:hAnsi="Times New Roman" w:hint="default"/>
      </w:rPr>
    </w:lvl>
    <w:lvl w:ilvl="6" w:tplc="5CD280C6" w:tentative="1">
      <w:start w:val="1"/>
      <w:numFmt w:val="bullet"/>
      <w:lvlText w:val="-"/>
      <w:lvlJc w:val="left"/>
      <w:pPr>
        <w:tabs>
          <w:tab w:val="num" w:pos="5040"/>
        </w:tabs>
        <w:ind w:left="5040" w:hanging="360"/>
      </w:pPr>
      <w:rPr>
        <w:rFonts w:ascii="Times New Roman" w:hAnsi="Times New Roman" w:hint="default"/>
      </w:rPr>
    </w:lvl>
    <w:lvl w:ilvl="7" w:tplc="9F60CA62" w:tentative="1">
      <w:start w:val="1"/>
      <w:numFmt w:val="bullet"/>
      <w:lvlText w:val="-"/>
      <w:lvlJc w:val="left"/>
      <w:pPr>
        <w:tabs>
          <w:tab w:val="num" w:pos="5760"/>
        </w:tabs>
        <w:ind w:left="5760" w:hanging="360"/>
      </w:pPr>
      <w:rPr>
        <w:rFonts w:ascii="Times New Roman" w:hAnsi="Times New Roman" w:hint="default"/>
      </w:rPr>
    </w:lvl>
    <w:lvl w:ilvl="8" w:tplc="9D288E2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F1C014C"/>
    <w:multiLevelType w:val="hybridMultilevel"/>
    <w:tmpl w:val="E088524A"/>
    <w:lvl w:ilvl="0" w:tplc="ECC845F6">
      <w:start w:val="2"/>
      <w:numFmt w:val="bullet"/>
      <w:lvlText w:val="-"/>
      <w:lvlJc w:val="left"/>
      <w:pPr>
        <w:tabs>
          <w:tab w:val="num" w:pos="720"/>
        </w:tabs>
        <w:ind w:left="720" w:hanging="360"/>
      </w:pPr>
      <w:rPr>
        <w:rFonts w:ascii="Arial" w:eastAsia="Times New Roman" w:hAnsi="Arial" w:cs="Arial" w:hint="default"/>
      </w:rPr>
    </w:lvl>
    <w:lvl w:ilvl="1" w:tplc="CF3CF0DC">
      <w:start w:val="1"/>
      <w:numFmt w:val="bullet"/>
      <w:lvlText w:val="-"/>
      <w:lvlJc w:val="left"/>
      <w:pPr>
        <w:tabs>
          <w:tab w:val="num" w:pos="1440"/>
        </w:tabs>
        <w:ind w:left="1440" w:hanging="360"/>
      </w:pPr>
      <w:rPr>
        <w:rFonts w:ascii="Times New Roman" w:hAnsi="Times New Roman" w:hint="default"/>
      </w:rPr>
    </w:lvl>
    <w:lvl w:ilvl="2" w:tplc="F0C66EE0">
      <w:start w:val="1"/>
      <w:numFmt w:val="bullet"/>
      <w:lvlText w:val="-"/>
      <w:lvlJc w:val="left"/>
      <w:pPr>
        <w:tabs>
          <w:tab w:val="num" w:pos="2160"/>
        </w:tabs>
        <w:ind w:left="2160" w:hanging="360"/>
      </w:pPr>
      <w:rPr>
        <w:rFonts w:ascii="Times New Roman" w:hAnsi="Times New Roman" w:hint="default"/>
      </w:rPr>
    </w:lvl>
    <w:lvl w:ilvl="3" w:tplc="2174C602">
      <w:start w:val="1"/>
      <w:numFmt w:val="bullet"/>
      <w:lvlText w:val="-"/>
      <w:lvlJc w:val="left"/>
      <w:pPr>
        <w:tabs>
          <w:tab w:val="num" w:pos="2880"/>
        </w:tabs>
        <w:ind w:left="2880" w:hanging="360"/>
      </w:pPr>
      <w:rPr>
        <w:rFonts w:ascii="Times New Roman" w:hAnsi="Times New Roman" w:hint="default"/>
      </w:rPr>
    </w:lvl>
    <w:lvl w:ilvl="4" w:tplc="E0583E3E">
      <w:start w:val="1"/>
      <w:numFmt w:val="bullet"/>
      <w:lvlText w:val="-"/>
      <w:lvlJc w:val="left"/>
      <w:pPr>
        <w:tabs>
          <w:tab w:val="num" w:pos="3600"/>
        </w:tabs>
        <w:ind w:left="3600" w:hanging="360"/>
      </w:pPr>
      <w:rPr>
        <w:rFonts w:ascii="Times New Roman" w:hAnsi="Times New Roman" w:hint="default"/>
      </w:rPr>
    </w:lvl>
    <w:lvl w:ilvl="5" w:tplc="1DD26D8E" w:tentative="1">
      <w:start w:val="1"/>
      <w:numFmt w:val="bullet"/>
      <w:lvlText w:val="-"/>
      <w:lvlJc w:val="left"/>
      <w:pPr>
        <w:tabs>
          <w:tab w:val="num" w:pos="4320"/>
        </w:tabs>
        <w:ind w:left="4320" w:hanging="360"/>
      </w:pPr>
      <w:rPr>
        <w:rFonts w:ascii="Times New Roman" w:hAnsi="Times New Roman" w:hint="default"/>
      </w:rPr>
    </w:lvl>
    <w:lvl w:ilvl="6" w:tplc="5CD280C6" w:tentative="1">
      <w:start w:val="1"/>
      <w:numFmt w:val="bullet"/>
      <w:lvlText w:val="-"/>
      <w:lvlJc w:val="left"/>
      <w:pPr>
        <w:tabs>
          <w:tab w:val="num" w:pos="5040"/>
        </w:tabs>
        <w:ind w:left="5040" w:hanging="360"/>
      </w:pPr>
      <w:rPr>
        <w:rFonts w:ascii="Times New Roman" w:hAnsi="Times New Roman" w:hint="default"/>
      </w:rPr>
    </w:lvl>
    <w:lvl w:ilvl="7" w:tplc="9F60CA62" w:tentative="1">
      <w:start w:val="1"/>
      <w:numFmt w:val="bullet"/>
      <w:lvlText w:val="-"/>
      <w:lvlJc w:val="left"/>
      <w:pPr>
        <w:tabs>
          <w:tab w:val="num" w:pos="5760"/>
        </w:tabs>
        <w:ind w:left="5760" w:hanging="360"/>
      </w:pPr>
      <w:rPr>
        <w:rFonts w:ascii="Times New Roman" w:hAnsi="Times New Roman" w:hint="default"/>
      </w:rPr>
    </w:lvl>
    <w:lvl w:ilvl="8" w:tplc="9D288E2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0904E65"/>
    <w:multiLevelType w:val="multilevel"/>
    <w:tmpl w:val="773C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5A3D06"/>
    <w:multiLevelType w:val="hybridMultilevel"/>
    <w:tmpl w:val="B8D8BC58"/>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EB321B4"/>
    <w:multiLevelType w:val="hybridMultilevel"/>
    <w:tmpl w:val="71C28AC0"/>
    <w:lvl w:ilvl="0" w:tplc="0809000F">
      <w:start w:val="1"/>
      <w:numFmt w:val="decimal"/>
      <w:lvlText w:val="%1."/>
      <w:lvlJc w:val="left"/>
      <w:pPr>
        <w:ind w:left="720" w:hanging="360"/>
      </w:pPr>
    </w:lvl>
    <w:lvl w:ilvl="1" w:tplc="6D781CFC">
      <w:numFmt w:val="bullet"/>
      <w:lvlText w:val="•"/>
      <w:lvlJc w:val="left"/>
      <w:pPr>
        <w:ind w:left="1440" w:hanging="360"/>
      </w:pPr>
      <w:rPr>
        <w:rFonts w:ascii="Arial" w:eastAsiaTheme="minorHAnsi" w:hAnsi="Arial" w:cs="Aria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ABE7972"/>
    <w:multiLevelType w:val="multilevel"/>
    <w:tmpl w:val="D316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715ECA"/>
    <w:multiLevelType w:val="singleLevel"/>
    <w:tmpl w:val="0D086F98"/>
    <w:lvl w:ilvl="0">
      <w:start w:val="1"/>
      <w:numFmt w:val="decimal"/>
      <w:lvlText w:val="3.2.%1."/>
      <w:lvlJc w:val="left"/>
      <w:pPr>
        <w:tabs>
          <w:tab w:val="num" w:pos="0"/>
        </w:tabs>
        <w:ind w:left="720" w:hanging="360"/>
      </w:pPr>
      <w:rPr>
        <w:rFonts w:hint="default"/>
      </w:rPr>
    </w:lvl>
  </w:abstractNum>
  <w:abstractNum w:abstractNumId="15" w15:restartNumberingAfterBreak="0">
    <w:nsid w:val="6A7F45CD"/>
    <w:multiLevelType w:val="multilevel"/>
    <w:tmpl w:val="1FEAB62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76601CC8"/>
    <w:multiLevelType w:val="hybridMultilevel"/>
    <w:tmpl w:val="A8F4235E"/>
    <w:lvl w:ilvl="0" w:tplc="13A2B5B4">
      <w:start w:val="1"/>
      <w:numFmt w:val="bullet"/>
      <w:lvlText w:val="-"/>
      <w:lvlJc w:val="left"/>
      <w:pPr>
        <w:ind w:left="1440" w:hanging="360"/>
      </w:pPr>
      <w:rPr>
        <w:rFonts w:ascii="Times New Roman" w:hAnsi="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78330DEC"/>
    <w:multiLevelType w:val="multilevel"/>
    <w:tmpl w:val="1FEAB620"/>
    <w:lvl w:ilvl="0">
      <w:start w:val="1"/>
      <w:numFmt w:val="decimal"/>
      <w:lvlText w:val="%1."/>
      <w:lvlJc w:val="left"/>
      <w:pPr>
        <w:ind w:left="108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000" w:hanging="108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240" w:hanging="1440"/>
      </w:pPr>
      <w:rPr>
        <w:rFonts w:hint="default"/>
      </w:rPr>
    </w:lvl>
    <w:lvl w:ilvl="8">
      <w:start w:val="1"/>
      <w:numFmt w:val="decimal"/>
      <w:lvlText w:val="%1.%2.%3.%4.%5.%6.%7.%8.%9."/>
      <w:lvlJc w:val="left"/>
      <w:pPr>
        <w:ind w:left="14040" w:hanging="1800"/>
      </w:pPr>
      <w:rPr>
        <w:rFonts w:hint="default"/>
      </w:rPr>
    </w:lvl>
  </w:abstractNum>
  <w:abstractNum w:abstractNumId="18" w15:restartNumberingAfterBreak="0">
    <w:nsid w:val="7C8A1F29"/>
    <w:multiLevelType w:val="hybridMultilevel"/>
    <w:tmpl w:val="2EDAD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712AA4"/>
    <w:multiLevelType w:val="hybridMultilevel"/>
    <w:tmpl w:val="305EEC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7F762322"/>
    <w:multiLevelType w:val="hybridMultilevel"/>
    <w:tmpl w:val="30523058"/>
    <w:lvl w:ilvl="0" w:tplc="9D2042F2">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17"/>
  </w:num>
  <w:num w:numId="5">
    <w:abstractNumId w:val="15"/>
  </w:num>
  <w:num w:numId="6">
    <w:abstractNumId w:val="9"/>
  </w:num>
  <w:num w:numId="7">
    <w:abstractNumId w:val="11"/>
  </w:num>
  <w:num w:numId="8">
    <w:abstractNumId w:val="2"/>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3"/>
  </w:num>
  <w:num w:numId="12">
    <w:abstractNumId w:val="4"/>
  </w:num>
  <w:num w:numId="13">
    <w:abstractNumId w:val="0"/>
  </w:num>
  <w:num w:numId="14">
    <w:abstractNumId w:val="16"/>
  </w:num>
  <w:num w:numId="15">
    <w:abstractNumId w:val="12"/>
  </w:num>
  <w:num w:numId="16">
    <w:abstractNumId w:val="19"/>
  </w:num>
  <w:num w:numId="17">
    <w:abstractNumId w:val="18"/>
  </w:num>
  <w:num w:numId="18">
    <w:abstractNumId w:val="14"/>
  </w:num>
  <w:num w:numId="19">
    <w:abstractNumId w:val="20"/>
  </w:num>
  <w:num w:numId="20">
    <w:abstractNumId w:val="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E43"/>
    <w:rsid w:val="00001D05"/>
    <w:rsid w:val="0001494D"/>
    <w:rsid w:val="00017B1E"/>
    <w:rsid w:val="00017E67"/>
    <w:rsid w:val="000222AD"/>
    <w:rsid w:val="000347C1"/>
    <w:rsid w:val="00054FF2"/>
    <w:rsid w:val="0006617A"/>
    <w:rsid w:val="0007069B"/>
    <w:rsid w:val="00083AF9"/>
    <w:rsid w:val="00083BCA"/>
    <w:rsid w:val="0008464D"/>
    <w:rsid w:val="00084977"/>
    <w:rsid w:val="00084C86"/>
    <w:rsid w:val="00091236"/>
    <w:rsid w:val="00094361"/>
    <w:rsid w:val="000A0FC0"/>
    <w:rsid w:val="000A624D"/>
    <w:rsid w:val="000B0988"/>
    <w:rsid w:val="000B22D5"/>
    <w:rsid w:val="000B2B7B"/>
    <w:rsid w:val="000B2DA2"/>
    <w:rsid w:val="000B76D1"/>
    <w:rsid w:val="000C1C32"/>
    <w:rsid w:val="000C326D"/>
    <w:rsid w:val="000C63E6"/>
    <w:rsid w:val="000D260B"/>
    <w:rsid w:val="000E0429"/>
    <w:rsid w:val="000E3FBB"/>
    <w:rsid w:val="000E4015"/>
    <w:rsid w:val="000F0705"/>
    <w:rsid w:val="000F16BF"/>
    <w:rsid w:val="000F4E2E"/>
    <w:rsid w:val="00100F1E"/>
    <w:rsid w:val="00104607"/>
    <w:rsid w:val="00106AEA"/>
    <w:rsid w:val="00110397"/>
    <w:rsid w:val="00121F74"/>
    <w:rsid w:val="0012621A"/>
    <w:rsid w:val="0013273B"/>
    <w:rsid w:val="00133B3C"/>
    <w:rsid w:val="00135B0F"/>
    <w:rsid w:val="00143069"/>
    <w:rsid w:val="0014402C"/>
    <w:rsid w:val="00146D3C"/>
    <w:rsid w:val="00152569"/>
    <w:rsid w:val="00154816"/>
    <w:rsid w:val="00156499"/>
    <w:rsid w:val="00173247"/>
    <w:rsid w:val="00177040"/>
    <w:rsid w:val="00177C7B"/>
    <w:rsid w:val="001867D6"/>
    <w:rsid w:val="00186EBC"/>
    <w:rsid w:val="001912B4"/>
    <w:rsid w:val="00192931"/>
    <w:rsid w:val="00193F30"/>
    <w:rsid w:val="00193FDC"/>
    <w:rsid w:val="001A1098"/>
    <w:rsid w:val="001A2E74"/>
    <w:rsid w:val="001A39D0"/>
    <w:rsid w:val="001B060A"/>
    <w:rsid w:val="001B41F4"/>
    <w:rsid w:val="001B45B7"/>
    <w:rsid w:val="001C1779"/>
    <w:rsid w:val="001C4D3A"/>
    <w:rsid w:val="001C7DAB"/>
    <w:rsid w:val="001D25BE"/>
    <w:rsid w:val="001D515D"/>
    <w:rsid w:val="001E2B1C"/>
    <w:rsid w:val="001F036A"/>
    <w:rsid w:val="001F1538"/>
    <w:rsid w:val="001F582E"/>
    <w:rsid w:val="00203F46"/>
    <w:rsid w:val="002159EE"/>
    <w:rsid w:val="00222D79"/>
    <w:rsid w:val="002262AD"/>
    <w:rsid w:val="002306D5"/>
    <w:rsid w:val="00235566"/>
    <w:rsid w:val="00236A1C"/>
    <w:rsid w:val="00241733"/>
    <w:rsid w:val="00245125"/>
    <w:rsid w:val="00246CE2"/>
    <w:rsid w:val="00246D58"/>
    <w:rsid w:val="00251CA2"/>
    <w:rsid w:val="002554F7"/>
    <w:rsid w:val="00260C2E"/>
    <w:rsid w:val="00260D93"/>
    <w:rsid w:val="002612E8"/>
    <w:rsid w:val="002645B1"/>
    <w:rsid w:val="00285504"/>
    <w:rsid w:val="00286525"/>
    <w:rsid w:val="00292B54"/>
    <w:rsid w:val="00296934"/>
    <w:rsid w:val="002A0BC1"/>
    <w:rsid w:val="002B0814"/>
    <w:rsid w:val="002B0AB1"/>
    <w:rsid w:val="002B41A6"/>
    <w:rsid w:val="002C2A6A"/>
    <w:rsid w:val="002D6E0E"/>
    <w:rsid w:val="002D73EB"/>
    <w:rsid w:val="002E15B7"/>
    <w:rsid w:val="002F62F2"/>
    <w:rsid w:val="003001AA"/>
    <w:rsid w:val="003103AE"/>
    <w:rsid w:val="00326045"/>
    <w:rsid w:val="00337138"/>
    <w:rsid w:val="003422A4"/>
    <w:rsid w:val="0035100E"/>
    <w:rsid w:val="00352433"/>
    <w:rsid w:val="00354F8B"/>
    <w:rsid w:val="003559FD"/>
    <w:rsid w:val="00355A07"/>
    <w:rsid w:val="00360220"/>
    <w:rsid w:val="003654D4"/>
    <w:rsid w:val="00370255"/>
    <w:rsid w:val="003707F9"/>
    <w:rsid w:val="00370A52"/>
    <w:rsid w:val="00371ACE"/>
    <w:rsid w:val="00373E9A"/>
    <w:rsid w:val="0039164B"/>
    <w:rsid w:val="003942EF"/>
    <w:rsid w:val="00394DAD"/>
    <w:rsid w:val="00395227"/>
    <w:rsid w:val="003A23D5"/>
    <w:rsid w:val="003A4919"/>
    <w:rsid w:val="003A4B15"/>
    <w:rsid w:val="003B1657"/>
    <w:rsid w:val="003B2386"/>
    <w:rsid w:val="003B315C"/>
    <w:rsid w:val="003B4787"/>
    <w:rsid w:val="003B744C"/>
    <w:rsid w:val="003C7171"/>
    <w:rsid w:val="003D07FD"/>
    <w:rsid w:val="003E511A"/>
    <w:rsid w:val="003F3411"/>
    <w:rsid w:val="004044CF"/>
    <w:rsid w:val="004278C9"/>
    <w:rsid w:val="00431D2A"/>
    <w:rsid w:val="004637DE"/>
    <w:rsid w:val="004642F3"/>
    <w:rsid w:val="00471AB2"/>
    <w:rsid w:val="00473D75"/>
    <w:rsid w:val="004772D9"/>
    <w:rsid w:val="00484C85"/>
    <w:rsid w:val="00490B97"/>
    <w:rsid w:val="00497992"/>
    <w:rsid w:val="004A1A48"/>
    <w:rsid w:val="004A1C9A"/>
    <w:rsid w:val="004A351B"/>
    <w:rsid w:val="004B169F"/>
    <w:rsid w:val="004B769C"/>
    <w:rsid w:val="004C39FD"/>
    <w:rsid w:val="004D47FD"/>
    <w:rsid w:val="004D48FD"/>
    <w:rsid w:val="004D5710"/>
    <w:rsid w:val="004D6C1D"/>
    <w:rsid w:val="004D7767"/>
    <w:rsid w:val="004E0669"/>
    <w:rsid w:val="004E1503"/>
    <w:rsid w:val="004E2D07"/>
    <w:rsid w:val="004F436B"/>
    <w:rsid w:val="00514C2B"/>
    <w:rsid w:val="00537CB0"/>
    <w:rsid w:val="00541848"/>
    <w:rsid w:val="00546951"/>
    <w:rsid w:val="005473AC"/>
    <w:rsid w:val="00555FEF"/>
    <w:rsid w:val="00560735"/>
    <w:rsid w:val="0056620D"/>
    <w:rsid w:val="00573248"/>
    <w:rsid w:val="00573860"/>
    <w:rsid w:val="005752D4"/>
    <w:rsid w:val="0059689A"/>
    <w:rsid w:val="00596F3F"/>
    <w:rsid w:val="005A1B51"/>
    <w:rsid w:val="005A4C8C"/>
    <w:rsid w:val="005B02A1"/>
    <w:rsid w:val="005B56EE"/>
    <w:rsid w:val="005B7240"/>
    <w:rsid w:val="005B7F1C"/>
    <w:rsid w:val="005C32B4"/>
    <w:rsid w:val="005C36FC"/>
    <w:rsid w:val="005D31A1"/>
    <w:rsid w:val="005D485E"/>
    <w:rsid w:val="005D5974"/>
    <w:rsid w:val="005D5DD2"/>
    <w:rsid w:val="005D6993"/>
    <w:rsid w:val="005D6C36"/>
    <w:rsid w:val="005D795D"/>
    <w:rsid w:val="005E016E"/>
    <w:rsid w:val="005E4145"/>
    <w:rsid w:val="005E7459"/>
    <w:rsid w:val="005F7DE0"/>
    <w:rsid w:val="00601519"/>
    <w:rsid w:val="00610AF3"/>
    <w:rsid w:val="0061316A"/>
    <w:rsid w:val="00625201"/>
    <w:rsid w:val="006309C2"/>
    <w:rsid w:val="006314A0"/>
    <w:rsid w:val="006317F9"/>
    <w:rsid w:val="00635C7C"/>
    <w:rsid w:val="006366E3"/>
    <w:rsid w:val="0064019A"/>
    <w:rsid w:val="006404CD"/>
    <w:rsid w:val="0064053D"/>
    <w:rsid w:val="006444AE"/>
    <w:rsid w:val="00647771"/>
    <w:rsid w:val="00647C04"/>
    <w:rsid w:val="00656217"/>
    <w:rsid w:val="0066549E"/>
    <w:rsid w:val="00670F34"/>
    <w:rsid w:val="00675346"/>
    <w:rsid w:val="00676B44"/>
    <w:rsid w:val="00677B7F"/>
    <w:rsid w:val="00682914"/>
    <w:rsid w:val="00684DEA"/>
    <w:rsid w:val="006918CE"/>
    <w:rsid w:val="00691FE8"/>
    <w:rsid w:val="00693D37"/>
    <w:rsid w:val="00694681"/>
    <w:rsid w:val="006A19E2"/>
    <w:rsid w:val="006A3957"/>
    <w:rsid w:val="006A5AB7"/>
    <w:rsid w:val="006B1198"/>
    <w:rsid w:val="006B55D2"/>
    <w:rsid w:val="006C23B1"/>
    <w:rsid w:val="006C44A6"/>
    <w:rsid w:val="006D2500"/>
    <w:rsid w:val="006E53F6"/>
    <w:rsid w:val="006E5C0A"/>
    <w:rsid w:val="007241E7"/>
    <w:rsid w:val="00725AE5"/>
    <w:rsid w:val="00730D31"/>
    <w:rsid w:val="00731D63"/>
    <w:rsid w:val="007375FE"/>
    <w:rsid w:val="00750718"/>
    <w:rsid w:val="00750B13"/>
    <w:rsid w:val="00755C17"/>
    <w:rsid w:val="007647F4"/>
    <w:rsid w:val="00767F98"/>
    <w:rsid w:val="007703D3"/>
    <w:rsid w:val="00770E48"/>
    <w:rsid w:val="007812E2"/>
    <w:rsid w:val="00781C47"/>
    <w:rsid w:val="00782BF3"/>
    <w:rsid w:val="0079255B"/>
    <w:rsid w:val="00795421"/>
    <w:rsid w:val="00797ADF"/>
    <w:rsid w:val="007B52F9"/>
    <w:rsid w:val="007C2FC3"/>
    <w:rsid w:val="007D1E43"/>
    <w:rsid w:val="007D5750"/>
    <w:rsid w:val="007E6D6E"/>
    <w:rsid w:val="008100D6"/>
    <w:rsid w:val="008127B4"/>
    <w:rsid w:val="00812E2A"/>
    <w:rsid w:val="00826E60"/>
    <w:rsid w:val="00833B1B"/>
    <w:rsid w:val="00834BFA"/>
    <w:rsid w:val="008371E0"/>
    <w:rsid w:val="0084141D"/>
    <w:rsid w:val="0084217E"/>
    <w:rsid w:val="00844277"/>
    <w:rsid w:val="008450F4"/>
    <w:rsid w:val="008512B4"/>
    <w:rsid w:val="00851546"/>
    <w:rsid w:val="00857B84"/>
    <w:rsid w:val="00860D1D"/>
    <w:rsid w:val="00866BBF"/>
    <w:rsid w:val="008715D9"/>
    <w:rsid w:val="008869B7"/>
    <w:rsid w:val="00892F5E"/>
    <w:rsid w:val="008A34EC"/>
    <w:rsid w:val="008B1621"/>
    <w:rsid w:val="008B238B"/>
    <w:rsid w:val="008B269C"/>
    <w:rsid w:val="008B290E"/>
    <w:rsid w:val="008D76A4"/>
    <w:rsid w:val="008E14FA"/>
    <w:rsid w:val="008E1D08"/>
    <w:rsid w:val="008E4226"/>
    <w:rsid w:val="008E5691"/>
    <w:rsid w:val="008E5BC9"/>
    <w:rsid w:val="008E7C7C"/>
    <w:rsid w:val="008F78D5"/>
    <w:rsid w:val="00900FE2"/>
    <w:rsid w:val="00901A76"/>
    <w:rsid w:val="00902CA3"/>
    <w:rsid w:val="0090563A"/>
    <w:rsid w:val="0091394E"/>
    <w:rsid w:val="009154D6"/>
    <w:rsid w:val="00920FC4"/>
    <w:rsid w:val="00926EA3"/>
    <w:rsid w:val="009328D5"/>
    <w:rsid w:val="00952FDD"/>
    <w:rsid w:val="00960FBD"/>
    <w:rsid w:val="009756A4"/>
    <w:rsid w:val="00977363"/>
    <w:rsid w:val="00977BEC"/>
    <w:rsid w:val="00984E13"/>
    <w:rsid w:val="00986E1D"/>
    <w:rsid w:val="009877CF"/>
    <w:rsid w:val="009B5CD0"/>
    <w:rsid w:val="009C0836"/>
    <w:rsid w:val="009C643A"/>
    <w:rsid w:val="009D2356"/>
    <w:rsid w:val="009D5A8F"/>
    <w:rsid w:val="009D7FDF"/>
    <w:rsid w:val="009F3F2E"/>
    <w:rsid w:val="009F4C2C"/>
    <w:rsid w:val="009F5B5F"/>
    <w:rsid w:val="00A032DC"/>
    <w:rsid w:val="00A107D0"/>
    <w:rsid w:val="00A15078"/>
    <w:rsid w:val="00A157D5"/>
    <w:rsid w:val="00A26C90"/>
    <w:rsid w:val="00A427D5"/>
    <w:rsid w:val="00A43085"/>
    <w:rsid w:val="00A46FB0"/>
    <w:rsid w:val="00A529F7"/>
    <w:rsid w:val="00A608BA"/>
    <w:rsid w:val="00A61B44"/>
    <w:rsid w:val="00A63A80"/>
    <w:rsid w:val="00A67A47"/>
    <w:rsid w:val="00A7148D"/>
    <w:rsid w:val="00A74A51"/>
    <w:rsid w:val="00A80D44"/>
    <w:rsid w:val="00A816EF"/>
    <w:rsid w:val="00A8188F"/>
    <w:rsid w:val="00A8503A"/>
    <w:rsid w:val="00A91508"/>
    <w:rsid w:val="00A95AF6"/>
    <w:rsid w:val="00AA2BF3"/>
    <w:rsid w:val="00AB2077"/>
    <w:rsid w:val="00AC2448"/>
    <w:rsid w:val="00AC6614"/>
    <w:rsid w:val="00AD5DD9"/>
    <w:rsid w:val="00AD6676"/>
    <w:rsid w:val="00AE3615"/>
    <w:rsid w:val="00AE71D1"/>
    <w:rsid w:val="00AF333E"/>
    <w:rsid w:val="00AF3900"/>
    <w:rsid w:val="00AF6694"/>
    <w:rsid w:val="00B01005"/>
    <w:rsid w:val="00B02856"/>
    <w:rsid w:val="00B03C9A"/>
    <w:rsid w:val="00B07F05"/>
    <w:rsid w:val="00B21BC2"/>
    <w:rsid w:val="00B229A9"/>
    <w:rsid w:val="00B23B8B"/>
    <w:rsid w:val="00B24134"/>
    <w:rsid w:val="00B24EA4"/>
    <w:rsid w:val="00B30B4D"/>
    <w:rsid w:val="00B36E3F"/>
    <w:rsid w:val="00B40A5C"/>
    <w:rsid w:val="00B4151E"/>
    <w:rsid w:val="00B43E6C"/>
    <w:rsid w:val="00B51BF4"/>
    <w:rsid w:val="00B64A70"/>
    <w:rsid w:val="00B767ED"/>
    <w:rsid w:val="00B83C6D"/>
    <w:rsid w:val="00B859AA"/>
    <w:rsid w:val="00B9084C"/>
    <w:rsid w:val="00B940FB"/>
    <w:rsid w:val="00B94C04"/>
    <w:rsid w:val="00BA1748"/>
    <w:rsid w:val="00BA4FBC"/>
    <w:rsid w:val="00BC0701"/>
    <w:rsid w:val="00BC7B5C"/>
    <w:rsid w:val="00BD37B7"/>
    <w:rsid w:val="00BE21C6"/>
    <w:rsid w:val="00BE3243"/>
    <w:rsid w:val="00BE6051"/>
    <w:rsid w:val="00C00D7A"/>
    <w:rsid w:val="00C112A7"/>
    <w:rsid w:val="00C1150F"/>
    <w:rsid w:val="00C12B24"/>
    <w:rsid w:val="00C13920"/>
    <w:rsid w:val="00C1456F"/>
    <w:rsid w:val="00C17C40"/>
    <w:rsid w:val="00C30875"/>
    <w:rsid w:val="00C3526A"/>
    <w:rsid w:val="00C42AB9"/>
    <w:rsid w:val="00C449B6"/>
    <w:rsid w:val="00C50311"/>
    <w:rsid w:val="00C76CA4"/>
    <w:rsid w:val="00C829FE"/>
    <w:rsid w:val="00C84D61"/>
    <w:rsid w:val="00C91743"/>
    <w:rsid w:val="00C922BF"/>
    <w:rsid w:val="00C97007"/>
    <w:rsid w:val="00CA2D7A"/>
    <w:rsid w:val="00CA424E"/>
    <w:rsid w:val="00CB41DE"/>
    <w:rsid w:val="00CC5BC5"/>
    <w:rsid w:val="00CC6CC2"/>
    <w:rsid w:val="00CC6E0B"/>
    <w:rsid w:val="00CD4898"/>
    <w:rsid w:val="00CD5A7B"/>
    <w:rsid w:val="00CE1111"/>
    <w:rsid w:val="00D04F1C"/>
    <w:rsid w:val="00D058BD"/>
    <w:rsid w:val="00D058F2"/>
    <w:rsid w:val="00D1124A"/>
    <w:rsid w:val="00D1260F"/>
    <w:rsid w:val="00D219AF"/>
    <w:rsid w:val="00D23B46"/>
    <w:rsid w:val="00D27DB5"/>
    <w:rsid w:val="00D432EE"/>
    <w:rsid w:val="00D539C6"/>
    <w:rsid w:val="00D570F0"/>
    <w:rsid w:val="00D57FA3"/>
    <w:rsid w:val="00D65262"/>
    <w:rsid w:val="00D75BC6"/>
    <w:rsid w:val="00DA6830"/>
    <w:rsid w:val="00DB1E12"/>
    <w:rsid w:val="00DB713A"/>
    <w:rsid w:val="00DC5648"/>
    <w:rsid w:val="00DD0178"/>
    <w:rsid w:val="00DD450F"/>
    <w:rsid w:val="00DE0BEC"/>
    <w:rsid w:val="00DE6D6E"/>
    <w:rsid w:val="00DF5020"/>
    <w:rsid w:val="00E0510F"/>
    <w:rsid w:val="00E2060E"/>
    <w:rsid w:val="00E23248"/>
    <w:rsid w:val="00E320A1"/>
    <w:rsid w:val="00E34545"/>
    <w:rsid w:val="00E40F74"/>
    <w:rsid w:val="00E42751"/>
    <w:rsid w:val="00E45664"/>
    <w:rsid w:val="00E63F7E"/>
    <w:rsid w:val="00E65A9B"/>
    <w:rsid w:val="00E6606D"/>
    <w:rsid w:val="00E710B7"/>
    <w:rsid w:val="00E72BC3"/>
    <w:rsid w:val="00E77243"/>
    <w:rsid w:val="00E80F33"/>
    <w:rsid w:val="00E81129"/>
    <w:rsid w:val="00E90A25"/>
    <w:rsid w:val="00E957EA"/>
    <w:rsid w:val="00E967CE"/>
    <w:rsid w:val="00EA574E"/>
    <w:rsid w:val="00EA73CB"/>
    <w:rsid w:val="00EB0301"/>
    <w:rsid w:val="00EB4F9A"/>
    <w:rsid w:val="00EB558B"/>
    <w:rsid w:val="00EC7075"/>
    <w:rsid w:val="00ED2837"/>
    <w:rsid w:val="00ED3794"/>
    <w:rsid w:val="00ED5E3E"/>
    <w:rsid w:val="00EE0C40"/>
    <w:rsid w:val="00EE198A"/>
    <w:rsid w:val="00EE52C5"/>
    <w:rsid w:val="00EF1D1D"/>
    <w:rsid w:val="00EF3DBB"/>
    <w:rsid w:val="00F00AA7"/>
    <w:rsid w:val="00F016FC"/>
    <w:rsid w:val="00F044D1"/>
    <w:rsid w:val="00F376A1"/>
    <w:rsid w:val="00F431DA"/>
    <w:rsid w:val="00F46578"/>
    <w:rsid w:val="00F52A79"/>
    <w:rsid w:val="00F62B00"/>
    <w:rsid w:val="00F66588"/>
    <w:rsid w:val="00F716A7"/>
    <w:rsid w:val="00F7683B"/>
    <w:rsid w:val="00F77BAB"/>
    <w:rsid w:val="00F81B09"/>
    <w:rsid w:val="00F81F0F"/>
    <w:rsid w:val="00F86E4E"/>
    <w:rsid w:val="00F95BB9"/>
    <w:rsid w:val="00FA317D"/>
    <w:rsid w:val="00FA3FB8"/>
    <w:rsid w:val="00FA79F6"/>
    <w:rsid w:val="00FB0747"/>
    <w:rsid w:val="00FB72DE"/>
    <w:rsid w:val="00FC13BC"/>
    <w:rsid w:val="00FC6E99"/>
    <w:rsid w:val="00FD199B"/>
    <w:rsid w:val="00FD4DB6"/>
    <w:rsid w:val="00FF2A78"/>
    <w:rsid w:val="00FF742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84667"/>
  <w15:docId w15:val="{93556024-C333-49B2-9579-A9EA1421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703D3"/>
    <w:pPr>
      <w:jc w:val="both"/>
    </w:pPr>
    <w:rPr>
      <w:rFonts w:ascii="Arial" w:hAnsi="Arial"/>
      <w:sz w:val="20"/>
      <w:lang w:val="en-GB"/>
    </w:rPr>
  </w:style>
  <w:style w:type="paragraph" w:styleId="Kop1">
    <w:name w:val="heading 1"/>
    <w:basedOn w:val="Standaard"/>
    <w:next w:val="Standaard"/>
    <w:link w:val="Kop1Char"/>
    <w:uiPriority w:val="9"/>
    <w:qFormat/>
    <w:rsid w:val="00812E2A"/>
    <w:pPr>
      <w:outlineLvl w:val="0"/>
    </w:pPr>
    <w:rPr>
      <w:b/>
      <w:sz w:val="32"/>
      <w:szCs w:val="32"/>
    </w:rPr>
  </w:style>
  <w:style w:type="paragraph" w:styleId="Kop2">
    <w:name w:val="heading 2"/>
    <w:basedOn w:val="Standaard"/>
    <w:next w:val="Standaard"/>
    <w:link w:val="Kop2Char"/>
    <w:uiPriority w:val="9"/>
    <w:unhideWhenUsed/>
    <w:qFormat/>
    <w:rsid w:val="00812E2A"/>
    <w:pPr>
      <w:outlineLvl w:val="1"/>
    </w:pPr>
    <w:rPr>
      <w:b/>
      <w:sz w:val="28"/>
      <w:szCs w:val="32"/>
    </w:rPr>
  </w:style>
  <w:style w:type="paragraph" w:styleId="Kop3">
    <w:name w:val="heading 3"/>
    <w:basedOn w:val="Standaard"/>
    <w:next w:val="Standaard"/>
    <w:link w:val="Kop3Char"/>
    <w:uiPriority w:val="9"/>
    <w:unhideWhenUsed/>
    <w:qFormat/>
    <w:rsid w:val="00812E2A"/>
    <w:pPr>
      <w:outlineLvl w:val="2"/>
    </w:pPr>
    <w:rPr>
      <w:b/>
      <w:sz w:val="24"/>
      <w:szCs w:val="32"/>
    </w:rPr>
  </w:style>
  <w:style w:type="paragraph" w:styleId="Kop4">
    <w:name w:val="heading 4"/>
    <w:basedOn w:val="Standaard"/>
    <w:next w:val="Standaard"/>
    <w:link w:val="Kop4Char"/>
    <w:uiPriority w:val="9"/>
    <w:semiHidden/>
    <w:unhideWhenUsed/>
    <w:qFormat/>
    <w:rsid w:val="000C32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2E2A"/>
    <w:rPr>
      <w:rFonts w:ascii="Arial" w:hAnsi="Arial"/>
      <w:b/>
      <w:sz w:val="32"/>
      <w:szCs w:val="32"/>
      <w:lang w:val="en-GB"/>
    </w:rPr>
  </w:style>
  <w:style w:type="paragraph" w:styleId="Lijstalinea">
    <w:name w:val="List Paragraph"/>
    <w:aliases w:val="List Paragraph_Sections,Llista Nivell1,Lista de nivel 1,Lettre d'introduction,Table of contents numbered,Paragraphe de liste PBLH,BULLET 1,List Bulletized,List Paragraph Char Char"/>
    <w:basedOn w:val="Standaard"/>
    <w:link w:val="LijstalineaChar"/>
    <w:uiPriority w:val="34"/>
    <w:qFormat/>
    <w:rsid w:val="00DE0BEC"/>
    <w:pPr>
      <w:ind w:left="720"/>
      <w:contextualSpacing/>
    </w:pPr>
  </w:style>
  <w:style w:type="character" w:styleId="Verwijzingopmerking">
    <w:name w:val="annotation reference"/>
    <w:basedOn w:val="Standaardalinea-lettertype"/>
    <w:unhideWhenUsed/>
    <w:rsid w:val="000E3FBB"/>
    <w:rPr>
      <w:sz w:val="16"/>
      <w:szCs w:val="16"/>
    </w:rPr>
  </w:style>
  <w:style w:type="paragraph" w:styleId="Tekstopmerking">
    <w:name w:val="annotation text"/>
    <w:basedOn w:val="Standaard"/>
    <w:link w:val="TekstopmerkingChar"/>
    <w:unhideWhenUsed/>
    <w:rsid w:val="000E3FBB"/>
    <w:pPr>
      <w:spacing w:line="240" w:lineRule="auto"/>
    </w:pPr>
    <w:rPr>
      <w:szCs w:val="20"/>
    </w:rPr>
  </w:style>
  <w:style w:type="character" w:customStyle="1" w:styleId="TekstopmerkingChar">
    <w:name w:val="Tekst opmerking Char"/>
    <w:basedOn w:val="Standaardalinea-lettertype"/>
    <w:link w:val="Tekstopmerking"/>
    <w:rsid w:val="000E3FBB"/>
    <w:rPr>
      <w:sz w:val="20"/>
      <w:szCs w:val="20"/>
    </w:rPr>
  </w:style>
  <w:style w:type="paragraph" w:styleId="Onderwerpvanopmerking">
    <w:name w:val="annotation subject"/>
    <w:basedOn w:val="Tekstopmerking"/>
    <w:next w:val="Tekstopmerking"/>
    <w:link w:val="OnderwerpvanopmerkingChar"/>
    <w:unhideWhenUsed/>
    <w:rsid w:val="000E3FBB"/>
    <w:rPr>
      <w:b/>
      <w:bCs/>
    </w:rPr>
  </w:style>
  <w:style w:type="character" w:customStyle="1" w:styleId="OnderwerpvanopmerkingChar">
    <w:name w:val="Onderwerp van opmerking Char"/>
    <w:basedOn w:val="TekstopmerkingChar"/>
    <w:link w:val="Onderwerpvanopmerking"/>
    <w:rsid w:val="000E3FBB"/>
    <w:rPr>
      <w:b/>
      <w:bCs/>
      <w:sz w:val="20"/>
      <w:szCs w:val="20"/>
    </w:rPr>
  </w:style>
  <w:style w:type="paragraph" w:styleId="Ballontekst">
    <w:name w:val="Balloon Text"/>
    <w:basedOn w:val="Standaard"/>
    <w:link w:val="BallontekstChar"/>
    <w:uiPriority w:val="99"/>
    <w:semiHidden/>
    <w:unhideWhenUsed/>
    <w:rsid w:val="000E3FB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E3FBB"/>
    <w:rPr>
      <w:rFonts w:ascii="Segoe UI" w:hAnsi="Segoe UI" w:cs="Segoe UI"/>
      <w:sz w:val="18"/>
      <w:szCs w:val="18"/>
    </w:rPr>
  </w:style>
  <w:style w:type="character" w:customStyle="1" w:styleId="Kop2Char">
    <w:name w:val="Kop 2 Char"/>
    <w:basedOn w:val="Standaardalinea-lettertype"/>
    <w:link w:val="Kop2"/>
    <w:uiPriority w:val="9"/>
    <w:rsid w:val="00812E2A"/>
    <w:rPr>
      <w:rFonts w:ascii="Arial" w:hAnsi="Arial"/>
      <w:b/>
      <w:sz w:val="28"/>
      <w:szCs w:val="32"/>
      <w:lang w:val="en-GB"/>
    </w:rPr>
  </w:style>
  <w:style w:type="character" w:styleId="Hyperlink">
    <w:name w:val="Hyperlink"/>
    <w:rsid w:val="0039164B"/>
    <w:rPr>
      <w:color w:val="0000FF"/>
      <w:u w:val="single"/>
    </w:rPr>
  </w:style>
  <w:style w:type="character" w:styleId="GevolgdeHyperlink">
    <w:name w:val="FollowedHyperlink"/>
    <w:basedOn w:val="Standaardalinea-lettertype"/>
    <w:uiPriority w:val="99"/>
    <w:semiHidden/>
    <w:unhideWhenUsed/>
    <w:rsid w:val="006B1198"/>
    <w:rPr>
      <w:color w:val="954F72" w:themeColor="followedHyperlink"/>
      <w:u w:val="single"/>
    </w:rPr>
  </w:style>
  <w:style w:type="character" w:styleId="Regelnummer">
    <w:name w:val="line number"/>
    <w:basedOn w:val="Standaardalinea-lettertype"/>
    <w:uiPriority w:val="99"/>
    <w:semiHidden/>
    <w:unhideWhenUsed/>
    <w:rsid w:val="0001494D"/>
  </w:style>
  <w:style w:type="character" w:styleId="Voetnootmarkering">
    <w:name w:val="footnote reference"/>
    <w:aliases w:val="Footnote symbol,Voetnootverwijzing,Times 10 Point,Exposant 3 Point, Exposant 3 Point,Footnote Refernece,BVI fnr,Fußnotenzeichen_Raxen,callout,Footnote Reference Number, BVI fnr,SUPERS,Footnote reference number,EN Footnote Reference"/>
    <w:link w:val="FootnotesymbolCarZchn"/>
    <w:uiPriority w:val="99"/>
    <w:qFormat/>
    <w:rsid w:val="003D07FD"/>
    <w:rPr>
      <w:vertAlign w:val="superscript"/>
    </w:rPr>
  </w:style>
  <w:style w:type="paragraph" w:styleId="Voetnoottekst">
    <w:name w:val="footnote text"/>
    <w:aliases w:val="Footnote,Footnote text,Testo nota a piè di pagina_Rientro,stile 1,Footnote1,Footnote2,Footnote3,Footnote4,Footnote5,Footnote6,Footnote7,Footnote8,Footnote9,Footnote10,Footnote11,Footnote21,Footnote31,Footnote41,Footnote51,Footnote61,ft,o"/>
    <w:basedOn w:val="Standaard"/>
    <w:link w:val="VoetnoottekstChar"/>
    <w:uiPriority w:val="99"/>
    <w:qFormat/>
    <w:rsid w:val="003D07FD"/>
    <w:pPr>
      <w:suppressLineNumbers/>
      <w:suppressAutoHyphens/>
      <w:spacing w:after="200" w:line="276" w:lineRule="auto"/>
      <w:ind w:left="339" w:hanging="339"/>
    </w:pPr>
    <w:rPr>
      <w:rFonts w:ascii="Calibri" w:eastAsia="Calibri" w:hAnsi="Calibri" w:cs="Times New Roman"/>
      <w:szCs w:val="20"/>
      <w:lang w:eastAsia="zh-CN"/>
    </w:rPr>
  </w:style>
  <w:style w:type="character" w:customStyle="1" w:styleId="VoetnoottekstChar">
    <w:name w:val="Voetnoottekst Char"/>
    <w:aliases w:val="Footnote Char,Footnote text Char,Testo nota a piè di pagina_Rientro Char,stile 1 Char,Footnote1 Char,Footnote2 Char,Footnote3 Char,Footnote4 Char,Footnote5 Char,Footnote6 Char,Footnote7 Char,Footnote8 Char,Footnote9 Char,ft Char"/>
    <w:basedOn w:val="Standaardalinea-lettertype"/>
    <w:link w:val="Voetnoottekst"/>
    <w:uiPriority w:val="99"/>
    <w:rsid w:val="003D07FD"/>
    <w:rPr>
      <w:rFonts w:ascii="Calibri" w:eastAsia="Calibri" w:hAnsi="Calibri" w:cs="Times New Roman"/>
      <w:sz w:val="20"/>
      <w:szCs w:val="20"/>
      <w:lang w:val="en-GB" w:eastAsia="zh-CN"/>
    </w:rPr>
  </w:style>
  <w:style w:type="character" w:customStyle="1" w:styleId="fielddata">
    <w:name w:val="fielddata"/>
    <w:basedOn w:val="Standaardalinea-lettertype"/>
    <w:rsid w:val="004B769C"/>
  </w:style>
  <w:style w:type="character" w:styleId="Zwaar">
    <w:name w:val="Strong"/>
    <w:basedOn w:val="Standaardalinea-lettertype"/>
    <w:uiPriority w:val="22"/>
    <w:qFormat/>
    <w:rsid w:val="00A816EF"/>
    <w:rPr>
      <w:b/>
      <w:bCs/>
    </w:rPr>
  </w:style>
  <w:style w:type="character" w:customStyle="1" w:styleId="Kop4Char">
    <w:name w:val="Kop 4 Char"/>
    <w:basedOn w:val="Standaardalinea-lettertype"/>
    <w:link w:val="Kop4"/>
    <w:uiPriority w:val="9"/>
    <w:semiHidden/>
    <w:rsid w:val="000C326D"/>
    <w:rPr>
      <w:rFonts w:asciiTheme="majorHAnsi" w:eastAsiaTheme="majorEastAsia" w:hAnsiTheme="majorHAnsi" w:cstheme="majorBidi"/>
      <w:i/>
      <w:iCs/>
      <w:color w:val="2E74B5" w:themeColor="accent1" w:themeShade="BF"/>
    </w:rPr>
  </w:style>
  <w:style w:type="paragraph" w:styleId="Plattetekst">
    <w:name w:val="Body Text"/>
    <w:basedOn w:val="Standaard"/>
    <w:link w:val="PlattetekstChar"/>
    <w:rsid w:val="00CB41DE"/>
    <w:pPr>
      <w:suppressAutoHyphens/>
      <w:spacing w:after="120" w:line="276" w:lineRule="auto"/>
    </w:pPr>
    <w:rPr>
      <w:rFonts w:ascii="Calibri" w:eastAsia="Calibri" w:hAnsi="Calibri" w:cs="Times New Roman"/>
      <w:lang w:eastAsia="zh-CN"/>
    </w:rPr>
  </w:style>
  <w:style w:type="character" w:customStyle="1" w:styleId="PlattetekstChar">
    <w:name w:val="Platte tekst Char"/>
    <w:basedOn w:val="Standaardalinea-lettertype"/>
    <w:link w:val="Plattetekst"/>
    <w:rsid w:val="00CB41DE"/>
    <w:rPr>
      <w:rFonts w:ascii="Calibri" w:eastAsia="Calibri" w:hAnsi="Calibri" w:cs="Times New Roman"/>
      <w:lang w:val="en-GB" w:eastAsia="zh-CN"/>
    </w:rPr>
  </w:style>
  <w:style w:type="paragraph" w:styleId="Revisie">
    <w:name w:val="Revision"/>
    <w:hidden/>
    <w:uiPriority w:val="99"/>
    <w:semiHidden/>
    <w:rsid w:val="00EB558B"/>
    <w:pPr>
      <w:spacing w:after="0" w:line="240" w:lineRule="auto"/>
    </w:pPr>
    <w:rPr>
      <w:rFonts w:ascii="Arial" w:hAnsi="Arial"/>
      <w:sz w:val="20"/>
      <w:lang w:val="en-GB"/>
    </w:rPr>
  </w:style>
  <w:style w:type="paragraph" w:styleId="Koptekst">
    <w:name w:val="header"/>
    <w:basedOn w:val="Standaard"/>
    <w:link w:val="KoptekstChar"/>
    <w:uiPriority w:val="99"/>
    <w:unhideWhenUsed/>
    <w:rsid w:val="007703D3"/>
    <w:pPr>
      <w:tabs>
        <w:tab w:val="center" w:pos="4513"/>
        <w:tab w:val="right" w:pos="9026"/>
      </w:tabs>
      <w:suppressAutoHyphens/>
      <w:spacing w:after="0" w:line="240" w:lineRule="auto"/>
      <w:jc w:val="left"/>
    </w:pPr>
    <w:rPr>
      <w:rFonts w:ascii="Calibri" w:eastAsia="Calibri" w:hAnsi="Calibri" w:cs="Times New Roman"/>
      <w:sz w:val="22"/>
      <w:lang w:eastAsia="zh-CN"/>
    </w:rPr>
  </w:style>
  <w:style w:type="character" w:customStyle="1" w:styleId="KoptekstChar">
    <w:name w:val="Koptekst Char"/>
    <w:basedOn w:val="Standaardalinea-lettertype"/>
    <w:link w:val="Koptekst"/>
    <w:uiPriority w:val="99"/>
    <w:rsid w:val="007703D3"/>
    <w:rPr>
      <w:rFonts w:ascii="Calibri" w:eastAsia="Calibri" w:hAnsi="Calibri" w:cs="Times New Roman"/>
      <w:lang w:val="en-GB" w:eastAsia="zh-CN"/>
    </w:rPr>
  </w:style>
  <w:style w:type="character" w:customStyle="1" w:styleId="LijstalineaChar">
    <w:name w:val="Lijstalinea Char"/>
    <w:aliases w:val="List Paragraph_Sections Char,Llista Nivell1 Char,Lista de nivel 1 Char,Lettre d'introduction Char,Table of contents numbered Char,Paragraphe de liste PBLH Char,BULLET 1 Char,List Bulletized Char,List Paragraph Char Char Char"/>
    <w:basedOn w:val="Standaardalinea-lettertype"/>
    <w:link w:val="Lijstalinea"/>
    <w:uiPriority w:val="34"/>
    <w:locked/>
    <w:rsid w:val="00260C2E"/>
    <w:rPr>
      <w:rFonts w:ascii="Arial" w:hAnsi="Arial"/>
      <w:sz w:val="20"/>
      <w:lang w:val="en-GB"/>
    </w:rPr>
  </w:style>
  <w:style w:type="paragraph" w:customStyle="1" w:styleId="FootnotesymbolCarZchn">
    <w:name w:val="Footnote symbol Car Zchn"/>
    <w:aliases w:val="Footnote Car Zchn,Times 10 Point Car Zchn,Exposant 3 Point Car Zchn,Footnote Reference Superscript Car Zchn,Char Char Char Char Char Car Zchn,BVI fnr Car Zchn,SUPERS Car Zchn"/>
    <w:basedOn w:val="Standaard"/>
    <w:link w:val="Voetnootmarkering"/>
    <w:uiPriority w:val="99"/>
    <w:rsid w:val="00260C2E"/>
    <w:pPr>
      <w:spacing w:line="240" w:lineRule="exact"/>
    </w:pPr>
    <w:rPr>
      <w:rFonts w:asciiTheme="minorHAnsi" w:hAnsiTheme="minorHAnsi"/>
      <w:sz w:val="22"/>
      <w:vertAlign w:val="superscript"/>
      <w:lang w:val="en-US"/>
    </w:rPr>
  </w:style>
  <w:style w:type="character" w:styleId="Nadruk">
    <w:name w:val="Emphasis"/>
    <w:basedOn w:val="Standaardalinea-lettertype"/>
    <w:uiPriority w:val="20"/>
    <w:qFormat/>
    <w:rsid w:val="00E0510F"/>
    <w:rPr>
      <w:i/>
      <w:iCs/>
    </w:rPr>
  </w:style>
  <w:style w:type="paragraph" w:styleId="Normaalweb">
    <w:name w:val="Normal (Web)"/>
    <w:basedOn w:val="Standaard"/>
    <w:uiPriority w:val="99"/>
    <w:semiHidden/>
    <w:unhideWhenUsed/>
    <w:rsid w:val="005C32B4"/>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styleId="HTML-citaat">
    <w:name w:val="HTML Cite"/>
    <w:basedOn w:val="Standaardalinea-lettertype"/>
    <w:uiPriority w:val="99"/>
    <w:semiHidden/>
    <w:unhideWhenUsed/>
    <w:rsid w:val="005C32B4"/>
    <w:rPr>
      <w:i/>
      <w:iCs/>
    </w:rPr>
  </w:style>
  <w:style w:type="character" w:customStyle="1" w:styleId="caps">
    <w:name w:val="caps"/>
    <w:basedOn w:val="Standaardalinea-lettertype"/>
    <w:rsid w:val="005B7F1C"/>
  </w:style>
  <w:style w:type="character" w:customStyle="1" w:styleId="Kop3Char">
    <w:name w:val="Kop 3 Char"/>
    <w:basedOn w:val="Standaardalinea-lettertype"/>
    <w:link w:val="Kop3"/>
    <w:uiPriority w:val="9"/>
    <w:rsid w:val="00812E2A"/>
    <w:rPr>
      <w:rFonts w:ascii="Arial" w:hAnsi="Arial"/>
      <w:b/>
      <w:sz w:val="24"/>
      <w:szCs w:val="32"/>
      <w:lang w:val="en-GB"/>
    </w:rPr>
  </w:style>
  <w:style w:type="character" w:customStyle="1" w:styleId="st">
    <w:name w:val="st"/>
    <w:basedOn w:val="Standaardalinea-lettertype"/>
    <w:rsid w:val="000F16BF"/>
  </w:style>
  <w:style w:type="paragraph" w:styleId="Voettekst">
    <w:name w:val="footer"/>
    <w:basedOn w:val="Standaard"/>
    <w:link w:val="VoettekstChar"/>
    <w:uiPriority w:val="99"/>
    <w:unhideWhenUsed/>
    <w:rsid w:val="006C23B1"/>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C23B1"/>
    <w:rPr>
      <w:rFonts w:ascii="Arial" w:hAnsi="Arial"/>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06935">
      <w:bodyDiv w:val="1"/>
      <w:marLeft w:val="0"/>
      <w:marRight w:val="0"/>
      <w:marTop w:val="0"/>
      <w:marBottom w:val="0"/>
      <w:divBdr>
        <w:top w:val="none" w:sz="0" w:space="0" w:color="auto"/>
        <w:left w:val="none" w:sz="0" w:space="0" w:color="auto"/>
        <w:bottom w:val="none" w:sz="0" w:space="0" w:color="auto"/>
        <w:right w:val="none" w:sz="0" w:space="0" w:color="auto"/>
      </w:divBdr>
    </w:div>
    <w:div w:id="377584575">
      <w:bodyDiv w:val="1"/>
      <w:marLeft w:val="0"/>
      <w:marRight w:val="0"/>
      <w:marTop w:val="0"/>
      <w:marBottom w:val="0"/>
      <w:divBdr>
        <w:top w:val="none" w:sz="0" w:space="0" w:color="auto"/>
        <w:left w:val="none" w:sz="0" w:space="0" w:color="auto"/>
        <w:bottom w:val="none" w:sz="0" w:space="0" w:color="auto"/>
        <w:right w:val="none" w:sz="0" w:space="0" w:color="auto"/>
      </w:divBdr>
    </w:div>
    <w:div w:id="414716432">
      <w:bodyDiv w:val="1"/>
      <w:marLeft w:val="0"/>
      <w:marRight w:val="0"/>
      <w:marTop w:val="0"/>
      <w:marBottom w:val="0"/>
      <w:divBdr>
        <w:top w:val="none" w:sz="0" w:space="0" w:color="auto"/>
        <w:left w:val="none" w:sz="0" w:space="0" w:color="auto"/>
        <w:bottom w:val="none" w:sz="0" w:space="0" w:color="auto"/>
        <w:right w:val="none" w:sz="0" w:space="0" w:color="auto"/>
      </w:divBdr>
    </w:div>
    <w:div w:id="464278131">
      <w:bodyDiv w:val="1"/>
      <w:marLeft w:val="0"/>
      <w:marRight w:val="0"/>
      <w:marTop w:val="0"/>
      <w:marBottom w:val="0"/>
      <w:divBdr>
        <w:top w:val="none" w:sz="0" w:space="0" w:color="auto"/>
        <w:left w:val="none" w:sz="0" w:space="0" w:color="auto"/>
        <w:bottom w:val="none" w:sz="0" w:space="0" w:color="auto"/>
        <w:right w:val="none" w:sz="0" w:space="0" w:color="auto"/>
      </w:divBdr>
    </w:div>
    <w:div w:id="593588899">
      <w:bodyDiv w:val="1"/>
      <w:marLeft w:val="0"/>
      <w:marRight w:val="0"/>
      <w:marTop w:val="0"/>
      <w:marBottom w:val="0"/>
      <w:divBdr>
        <w:top w:val="none" w:sz="0" w:space="0" w:color="auto"/>
        <w:left w:val="none" w:sz="0" w:space="0" w:color="auto"/>
        <w:bottom w:val="none" w:sz="0" w:space="0" w:color="auto"/>
        <w:right w:val="none" w:sz="0" w:space="0" w:color="auto"/>
      </w:divBdr>
    </w:div>
    <w:div w:id="707726374">
      <w:bodyDiv w:val="1"/>
      <w:marLeft w:val="0"/>
      <w:marRight w:val="0"/>
      <w:marTop w:val="0"/>
      <w:marBottom w:val="0"/>
      <w:divBdr>
        <w:top w:val="none" w:sz="0" w:space="0" w:color="auto"/>
        <w:left w:val="none" w:sz="0" w:space="0" w:color="auto"/>
        <w:bottom w:val="none" w:sz="0" w:space="0" w:color="auto"/>
        <w:right w:val="none" w:sz="0" w:space="0" w:color="auto"/>
      </w:divBdr>
    </w:div>
    <w:div w:id="879320843">
      <w:bodyDiv w:val="1"/>
      <w:marLeft w:val="0"/>
      <w:marRight w:val="0"/>
      <w:marTop w:val="0"/>
      <w:marBottom w:val="0"/>
      <w:divBdr>
        <w:top w:val="none" w:sz="0" w:space="0" w:color="auto"/>
        <w:left w:val="none" w:sz="0" w:space="0" w:color="auto"/>
        <w:bottom w:val="none" w:sz="0" w:space="0" w:color="auto"/>
        <w:right w:val="none" w:sz="0" w:space="0" w:color="auto"/>
      </w:divBdr>
    </w:div>
    <w:div w:id="974523098">
      <w:bodyDiv w:val="1"/>
      <w:marLeft w:val="0"/>
      <w:marRight w:val="0"/>
      <w:marTop w:val="0"/>
      <w:marBottom w:val="0"/>
      <w:divBdr>
        <w:top w:val="none" w:sz="0" w:space="0" w:color="auto"/>
        <w:left w:val="none" w:sz="0" w:space="0" w:color="auto"/>
        <w:bottom w:val="none" w:sz="0" w:space="0" w:color="auto"/>
        <w:right w:val="none" w:sz="0" w:space="0" w:color="auto"/>
      </w:divBdr>
    </w:div>
    <w:div w:id="993140589">
      <w:bodyDiv w:val="1"/>
      <w:marLeft w:val="0"/>
      <w:marRight w:val="0"/>
      <w:marTop w:val="0"/>
      <w:marBottom w:val="0"/>
      <w:divBdr>
        <w:top w:val="none" w:sz="0" w:space="0" w:color="auto"/>
        <w:left w:val="none" w:sz="0" w:space="0" w:color="auto"/>
        <w:bottom w:val="none" w:sz="0" w:space="0" w:color="auto"/>
        <w:right w:val="none" w:sz="0" w:space="0" w:color="auto"/>
      </w:divBdr>
    </w:div>
    <w:div w:id="1062102565">
      <w:bodyDiv w:val="1"/>
      <w:marLeft w:val="0"/>
      <w:marRight w:val="0"/>
      <w:marTop w:val="0"/>
      <w:marBottom w:val="0"/>
      <w:divBdr>
        <w:top w:val="none" w:sz="0" w:space="0" w:color="auto"/>
        <w:left w:val="none" w:sz="0" w:space="0" w:color="auto"/>
        <w:bottom w:val="none" w:sz="0" w:space="0" w:color="auto"/>
        <w:right w:val="none" w:sz="0" w:space="0" w:color="auto"/>
      </w:divBdr>
    </w:div>
    <w:div w:id="1145925452">
      <w:bodyDiv w:val="1"/>
      <w:marLeft w:val="0"/>
      <w:marRight w:val="0"/>
      <w:marTop w:val="0"/>
      <w:marBottom w:val="0"/>
      <w:divBdr>
        <w:top w:val="none" w:sz="0" w:space="0" w:color="auto"/>
        <w:left w:val="none" w:sz="0" w:space="0" w:color="auto"/>
        <w:bottom w:val="none" w:sz="0" w:space="0" w:color="auto"/>
        <w:right w:val="none" w:sz="0" w:space="0" w:color="auto"/>
      </w:divBdr>
      <w:divsChild>
        <w:div w:id="504901036">
          <w:marLeft w:val="547"/>
          <w:marRight w:val="0"/>
          <w:marTop w:val="200"/>
          <w:marBottom w:val="0"/>
          <w:divBdr>
            <w:top w:val="none" w:sz="0" w:space="0" w:color="auto"/>
            <w:left w:val="none" w:sz="0" w:space="0" w:color="auto"/>
            <w:bottom w:val="none" w:sz="0" w:space="0" w:color="auto"/>
            <w:right w:val="none" w:sz="0" w:space="0" w:color="auto"/>
          </w:divBdr>
        </w:div>
        <w:div w:id="1749038125">
          <w:marLeft w:val="547"/>
          <w:marRight w:val="0"/>
          <w:marTop w:val="200"/>
          <w:marBottom w:val="0"/>
          <w:divBdr>
            <w:top w:val="none" w:sz="0" w:space="0" w:color="auto"/>
            <w:left w:val="none" w:sz="0" w:space="0" w:color="auto"/>
            <w:bottom w:val="none" w:sz="0" w:space="0" w:color="auto"/>
            <w:right w:val="none" w:sz="0" w:space="0" w:color="auto"/>
          </w:divBdr>
        </w:div>
      </w:divsChild>
    </w:div>
    <w:div w:id="1191646874">
      <w:bodyDiv w:val="1"/>
      <w:marLeft w:val="0"/>
      <w:marRight w:val="0"/>
      <w:marTop w:val="0"/>
      <w:marBottom w:val="0"/>
      <w:divBdr>
        <w:top w:val="none" w:sz="0" w:space="0" w:color="auto"/>
        <w:left w:val="none" w:sz="0" w:space="0" w:color="auto"/>
        <w:bottom w:val="none" w:sz="0" w:space="0" w:color="auto"/>
        <w:right w:val="none" w:sz="0" w:space="0" w:color="auto"/>
      </w:divBdr>
    </w:div>
    <w:div w:id="1325207418">
      <w:bodyDiv w:val="1"/>
      <w:marLeft w:val="0"/>
      <w:marRight w:val="0"/>
      <w:marTop w:val="0"/>
      <w:marBottom w:val="0"/>
      <w:divBdr>
        <w:top w:val="none" w:sz="0" w:space="0" w:color="auto"/>
        <w:left w:val="none" w:sz="0" w:space="0" w:color="auto"/>
        <w:bottom w:val="none" w:sz="0" w:space="0" w:color="auto"/>
        <w:right w:val="none" w:sz="0" w:space="0" w:color="auto"/>
      </w:divBdr>
    </w:div>
    <w:div w:id="1366180195">
      <w:bodyDiv w:val="1"/>
      <w:marLeft w:val="0"/>
      <w:marRight w:val="0"/>
      <w:marTop w:val="0"/>
      <w:marBottom w:val="0"/>
      <w:divBdr>
        <w:top w:val="none" w:sz="0" w:space="0" w:color="auto"/>
        <w:left w:val="none" w:sz="0" w:space="0" w:color="auto"/>
        <w:bottom w:val="none" w:sz="0" w:space="0" w:color="auto"/>
        <w:right w:val="none" w:sz="0" w:space="0" w:color="auto"/>
      </w:divBdr>
    </w:div>
    <w:div w:id="1393429895">
      <w:bodyDiv w:val="1"/>
      <w:marLeft w:val="0"/>
      <w:marRight w:val="0"/>
      <w:marTop w:val="0"/>
      <w:marBottom w:val="0"/>
      <w:divBdr>
        <w:top w:val="none" w:sz="0" w:space="0" w:color="auto"/>
        <w:left w:val="none" w:sz="0" w:space="0" w:color="auto"/>
        <w:bottom w:val="none" w:sz="0" w:space="0" w:color="auto"/>
        <w:right w:val="none" w:sz="0" w:space="0" w:color="auto"/>
      </w:divBdr>
    </w:div>
    <w:div w:id="1479806442">
      <w:bodyDiv w:val="1"/>
      <w:marLeft w:val="0"/>
      <w:marRight w:val="0"/>
      <w:marTop w:val="0"/>
      <w:marBottom w:val="0"/>
      <w:divBdr>
        <w:top w:val="none" w:sz="0" w:space="0" w:color="auto"/>
        <w:left w:val="none" w:sz="0" w:space="0" w:color="auto"/>
        <w:bottom w:val="none" w:sz="0" w:space="0" w:color="auto"/>
        <w:right w:val="none" w:sz="0" w:space="0" w:color="auto"/>
      </w:divBdr>
    </w:div>
    <w:div w:id="1666980129">
      <w:bodyDiv w:val="1"/>
      <w:marLeft w:val="0"/>
      <w:marRight w:val="0"/>
      <w:marTop w:val="0"/>
      <w:marBottom w:val="0"/>
      <w:divBdr>
        <w:top w:val="none" w:sz="0" w:space="0" w:color="auto"/>
        <w:left w:val="none" w:sz="0" w:space="0" w:color="auto"/>
        <w:bottom w:val="none" w:sz="0" w:space="0" w:color="auto"/>
        <w:right w:val="none" w:sz="0" w:space="0" w:color="auto"/>
      </w:divBdr>
    </w:div>
    <w:div w:id="1838416722">
      <w:bodyDiv w:val="1"/>
      <w:marLeft w:val="0"/>
      <w:marRight w:val="0"/>
      <w:marTop w:val="0"/>
      <w:marBottom w:val="0"/>
      <w:divBdr>
        <w:top w:val="none" w:sz="0" w:space="0" w:color="auto"/>
        <w:left w:val="none" w:sz="0" w:space="0" w:color="auto"/>
        <w:bottom w:val="none" w:sz="0" w:space="0" w:color="auto"/>
        <w:right w:val="none" w:sz="0" w:space="0" w:color="auto"/>
      </w:divBdr>
    </w:div>
    <w:div w:id="1895237768">
      <w:bodyDiv w:val="1"/>
      <w:marLeft w:val="0"/>
      <w:marRight w:val="0"/>
      <w:marTop w:val="0"/>
      <w:marBottom w:val="0"/>
      <w:divBdr>
        <w:top w:val="none" w:sz="0" w:space="0" w:color="auto"/>
        <w:left w:val="none" w:sz="0" w:space="0" w:color="auto"/>
        <w:bottom w:val="none" w:sz="0" w:space="0" w:color="auto"/>
        <w:right w:val="none" w:sz="0" w:space="0" w:color="auto"/>
      </w:divBdr>
      <w:divsChild>
        <w:div w:id="997853199">
          <w:marLeft w:val="547"/>
          <w:marRight w:val="0"/>
          <w:marTop w:val="0"/>
          <w:marBottom w:val="0"/>
          <w:divBdr>
            <w:top w:val="none" w:sz="0" w:space="0" w:color="auto"/>
            <w:left w:val="none" w:sz="0" w:space="0" w:color="auto"/>
            <w:bottom w:val="none" w:sz="0" w:space="0" w:color="auto"/>
            <w:right w:val="none" w:sz="0" w:space="0" w:color="auto"/>
          </w:divBdr>
        </w:div>
        <w:div w:id="190265418">
          <w:marLeft w:val="1886"/>
          <w:marRight w:val="0"/>
          <w:marTop w:val="0"/>
          <w:marBottom w:val="0"/>
          <w:divBdr>
            <w:top w:val="none" w:sz="0" w:space="0" w:color="auto"/>
            <w:left w:val="none" w:sz="0" w:space="0" w:color="auto"/>
            <w:bottom w:val="none" w:sz="0" w:space="0" w:color="auto"/>
            <w:right w:val="none" w:sz="0" w:space="0" w:color="auto"/>
          </w:divBdr>
        </w:div>
        <w:div w:id="337194375">
          <w:marLeft w:val="1886"/>
          <w:marRight w:val="0"/>
          <w:marTop w:val="0"/>
          <w:marBottom w:val="0"/>
          <w:divBdr>
            <w:top w:val="none" w:sz="0" w:space="0" w:color="auto"/>
            <w:left w:val="none" w:sz="0" w:space="0" w:color="auto"/>
            <w:bottom w:val="none" w:sz="0" w:space="0" w:color="auto"/>
            <w:right w:val="none" w:sz="0" w:space="0" w:color="auto"/>
          </w:divBdr>
        </w:div>
        <w:div w:id="1410034370">
          <w:marLeft w:val="446"/>
          <w:marRight w:val="0"/>
          <w:marTop w:val="0"/>
          <w:marBottom w:val="0"/>
          <w:divBdr>
            <w:top w:val="none" w:sz="0" w:space="0" w:color="auto"/>
            <w:left w:val="none" w:sz="0" w:space="0" w:color="auto"/>
            <w:bottom w:val="none" w:sz="0" w:space="0" w:color="auto"/>
            <w:right w:val="none" w:sz="0" w:space="0" w:color="auto"/>
          </w:divBdr>
        </w:div>
        <w:div w:id="588849140">
          <w:marLeft w:val="446"/>
          <w:marRight w:val="0"/>
          <w:marTop w:val="0"/>
          <w:marBottom w:val="0"/>
          <w:divBdr>
            <w:top w:val="none" w:sz="0" w:space="0" w:color="auto"/>
            <w:left w:val="none" w:sz="0" w:space="0" w:color="auto"/>
            <w:bottom w:val="none" w:sz="0" w:space="0" w:color="auto"/>
            <w:right w:val="none" w:sz="0" w:space="0" w:color="auto"/>
          </w:divBdr>
        </w:div>
        <w:div w:id="2046321313">
          <w:marLeft w:val="446"/>
          <w:marRight w:val="0"/>
          <w:marTop w:val="0"/>
          <w:marBottom w:val="0"/>
          <w:divBdr>
            <w:top w:val="none" w:sz="0" w:space="0" w:color="auto"/>
            <w:left w:val="none" w:sz="0" w:space="0" w:color="auto"/>
            <w:bottom w:val="none" w:sz="0" w:space="0" w:color="auto"/>
            <w:right w:val="none" w:sz="0" w:space="0" w:color="auto"/>
          </w:divBdr>
        </w:div>
        <w:div w:id="2030521705">
          <w:marLeft w:val="1886"/>
          <w:marRight w:val="0"/>
          <w:marTop w:val="0"/>
          <w:marBottom w:val="0"/>
          <w:divBdr>
            <w:top w:val="none" w:sz="0" w:space="0" w:color="auto"/>
            <w:left w:val="none" w:sz="0" w:space="0" w:color="auto"/>
            <w:bottom w:val="none" w:sz="0" w:space="0" w:color="auto"/>
            <w:right w:val="none" w:sz="0" w:space="0" w:color="auto"/>
          </w:divBdr>
        </w:div>
        <w:div w:id="1653681729">
          <w:marLeft w:val="1886"/>
          <w:marRight w:val="0"/>
          <w:marTop w:val="0"/>
          <w:marBottom w:val="0"/>
          <w:divBdr>
            <w:top w:val="none" w:sz="0" w:space="0" w:color="auto"/>
            <w:left w:val="none" w:sz="0" w:space="0" w:color="auto"/>
            <w:bottom w:val="none" w:sz="0" w:space="0" w:color="auto"/>
            <w:right w:val="none" w:sz="0" w:space="0" w:color="auto"/>
          </w:divBdr>
        </w:div>
        <w:div w:id="888878943">
          <w:marLeft w:val="1886"/>
          <w:marRight w:val="0"/>
          <w:marTop w:val="0"/>
          <w:marBottom w:val="0"/>
          <w:divBdr>
            <w:top w:val="none" w:sz="0" w:space="0" w:color="auto"/>
            <w:left w:val="none" w:sz="0" w:space="0" w:color="auto"/>
            <w:bottom w:val="none" w:sz="0" w:space="0" w:color="auto"/>
            <w:right w:val="none" w:sz="0" w:space="0" w:color="auto"/>
          </w:divBdr>
        </w:div>
        <w:div w:id="689141850">
          <w:marLeft w:val="446"/>
          <w:marRight w:val="0"/>
          <w:marTop w:val="0"/>
          <w:marBottom w:val="0"/>
          <w:divBdr>
            <w:top w:val="none" w:sz="0" w:space="0" w:color="auto"/>
            <w:left w:val="none" w:sz="0" w:space="0" w:color="auto"/>
            <w:bottom w:val="none" w:sz="0" w:space="0" w:color="auto"/>
            <w:right w:val="none" w:sz="0" w:space="0" w:color="auto"/>
          </w:divBdr>
        </w:div>
        <w:div w:id="1553956278">
          <w:marLeft w:val="1886"/>
          <w:marRight w:val="0"/>
          <w:marTop w:val="0"/>
          <w:marBottom w:val="0"/>
          <w:divBdr>
            <w:top w:val="none" w:sz="0" w:space="0" w:color="auto"/>
            <w:left w:val="none" w:sz="0" w:space="0" w:color="auto"/>
            <w:bottom w:val="none" w:sz="0" w:space="0" w:color="auto"/>
            <w:right w:val="none" w:sz="0" w:space="0" w:color="auto"/>
          </w:divBdr>
        </w:div>
        <w:div w:id="345059687">
          <w:marLeft w:val="1886"/>
          <w:marRight w:val="0"/>
          <w:marTop w:val="0"/>
          <w:marBottom w:val="0"/>
          <w:divBdr>
            <w:top w:val="none" w:sz="0" w:space="0" w:color="auto"/>
            <w:left w:val="none" w:sz="0" w:space="0" w:color="auto"/>
            <w:bottom w:val="none" w:sz="0" w:space="0" w:color="auto"/>
            <w:right w:val="none" w:sz="0" w:space="0" w:color="auto"/>
          </w:divBdr>
        </w:div>
        <w:div w:id="575240779">
          <w:marLeft w:val="1886"/>
          <w:marRight w:val="0"/>
          <w:marTop w:val="0"/>
          <w:marBottom w:val="0"/>
          <w:divBdr>
            <w:top w:val="none" w:sz="0" w:space="0" w:color="auto"/>
            <w:left w:val="none" w:sz="0" w:space="0" w:color="auto"/>
            <w:bottom w:val="none" w:sz="0" w:space="0" w:color="auto"/>
            <w:right w:val="none" w:sz="0" w:space="0" w:color="auto"/>
          </w:divBdr>
        </w:div>
        <w:div w:id="1366365308">
          <w:marLeft w:val="1886"/>
          <w:marRight w:val="0"/>
          <w:marTop w:val="0"/>
          <w:marBottom w:val="0"/>
          <w:divBdr>
            <w:top w:val="none" w:sz="0" w:space="0" w:color="auto"/>
            <w:left w:val="none" w:sz="0" w:space="0" w:color="auto"/>
            <w:bottom w:val="none" w:sz="0" w:space="0" w:color="auto"/>
            <w:right w:val="none" w:sz="0" w:space="0" w:color="auto"/>
          </w:divBdr>
        </w:div>
        <w:div w:id="35859573">
          <w:marLeft w:val="1886"/>
          <w:marRight w:val="0"/>
          <w:marTop w:val="0"/>
          <w:marBottom w:val="0"/>
          <w:divBdr>
            <w:top w:val="none" w:sz="0" w:space="0" w:color="auto"/>
            <w:left w:val="none" w:sz="0" w:space="0" w:color="auto"/>
            <w:bottom w:val="none" w:sz="0" w:space="0" w:color="auto"/>
            <w:right w:val="none" w:sz="0" w:space="0" w:color="auto"/>
          </w:divBdr>
        </w:div>
        <w:div w:id="492335141">
          <w:marLeft w:val="1886"/>
          <w:marRight w:val="0"/>
          <w:marTop w:val="0"/>
          <w:marBottom w:val="0"/>
          <w:divBdr>
            <w:top w:val="none" w:sz="0" w:space="0" w:color="auto"/>
            <w:left w:val="none" w:sz="0" w:space="0" w:color="auto"/>
            <w:bottom w:val="none" w:sz="0" w:space="0" w:color="auto"/>
            <w:right w:val="none" w:sz="0" w:space="0" w:color="auto"/>
          </w:divBdr>
        </w:div>
      </w:divsChild>
    </w:div>
    <w:div w:id="1907953384">
      <w:bodyDiv w:val="1"/>
      <w:marLeft w:val="0"/>
      <w:marRight w:val="0"/>
      <w:marTop w:val="0"/>
      <w:marBottom w:val="0"/>
      <w:divBdr>
        <w:top w:val="none" w:sz="0" w:space="0" w:color="auto"/>
        <w:left w:val="none" w:sz="0" w:space="0" w:color="auto"/>
        <w:bottom w:val="none" w:sz="0" w:space="0" w:color="auto"/>
        <w:right w:val="none" w:sz="0" w:space="0" w:color="auto"/>
      </w:divBdr>
    </w:div>
    <w:div w:id="1992098934">
      <w:bodyDiv w:val="1"/>
      <w:marLeft w:val="0"/>
      <w:marRight w:val="0"/>
      <w:marTop w:val="0"/>
      <w:marBottom w:val="0"/>
      <w:divBdr>
        <w:top w:val="none" w:sz="0" w:space="0" w:color="auto"/>
        <w:left w:val="none" w:sz="0" w:space="0" w:color="auto"/>
        <w:bottom w:val="none" w:sz="0" w:space="0" w:color="auto"/>
        <w:right w:val="none" w:sz="0" w:space="0" w:color="auto"/>
      </w:divBdr>
    </w:div>
    <w:div w:id="2067294558">
      <w:bodyDiv w:val="1"/>
      <w:marLeft w:val="0"/>
      <w:marRight w:val="0"/>
      <w:marTop w:val="0"/>
      <w:marBottom w:val="0"/>
      <w:divBdr>
        <w:top w:val="none" w:sz="0" w:space="0" w:color="auto"/>
        <w:left w:val="none" w:sz="0" w:space="0" w:color="auto"/>
        <w:bottom w:val="none" w:sz="0" w:space="0" w:color="auto"/>
        <w:right w:val="none" w:sz="0" w:space="0" w:color="auto"/>
      </w:divBdr>
    </w:div>
    <w:div w:id="2075811762">
      <w:bodyDiv w:val="1"/>
      <w:marLeft w:val="0"/>
      <w:marRight w:val="0"/>
      <w:marTop w:val="0"/>
      <w:marBottom w:val="0"/>
      <w:divBdr>
        <w:top w:val="none" w:sz="0" w:space="0" w:color="auto"/>
        <w:left w:val="none" w:sz="0" w:space="0" w:color="auto"/>
        <w:bottom w:val="none" w:sz="0" w:space="0" w:color="auto"/>
        <w:right w:val="none" w:sz="0" w:space="0" w:color="auto"/>
      </w:divBdr>
    </w:div>
    <w:div w:id="2096394419">
      <w:bodyDiv w:val="1"/>
      <w:marLeft w:val="0"/>
      <w:marRight w:val="0"/>
      <w:marTop w:val="0"/>
      <w:marBottom w:val="0"/>
      <w:divBdr>
        <w:top w:val="none" w:sz="0" w:space="0" w:color="auto"/>
        <w:left w:val="none" w:sz="0" w:space="0" w:color="auto"/>
        <w:bottom w:val="none" w:sz="0" w:space="0" w:color="auto"/>
        <w:right w:val="none" w:sz="0" w:space="0" w:color="auto"/>
      </w:divBdr>
    </w:div>
    <w:div w:id="210522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c-ict-std-platform@ec.europa.eu"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nordicapis.com/why-oauth-2-0-is-vital-to-iot-security/" TargetMode="External"/><Relationship Id="rId13" Type="http://schemas.openxmlformats.org/officeDocument/2006/relationships/hyperlink" Target="https://developer.apple.com/documentation/accounts/acaccountcredential/1507896-init" TargetMode="External"/><Relationship Id="rId18" Type="http://schemas.openxmlformats.org/officeDocument/2006/relationships/hyperlink" Target="https://www.cenelec.eu/" TargetMode="External"/><Relationship Id="rId26" Type="http://schemas.openxmlformats.org/officeDocument/2006/relationships/hyperlink" Target="https://www.ietf.org/" TargetMode="External"/><Relationship Id="rId3" Type="http://schemas.openxmlformats.org/officeDocument/2006/relationships/hyperlink" Target="https://tools.ietf.org/html/rfc6749" TargetMode="External"/><Relationship Id="rId21" Type="http://schemas.openxmlformats.org/officeDocument/2006/relationships/hyperlink" Target="https://www.enisa.europa.eu/publications/standards-and-tools-for-exchange-and-processing-of-actionable-information/at_download/fullReport" TargetMode="External"/><Relationship Id="rId34" Type="http://schemas.openxmlformats.org/officeDocument/2006/relationships/hyperlink" Target="https://www.rfc-editor.org/rfc/rfc2026.txt" TargetMode="External"/><Relationship Id="rId7" Type="http://schemas.openxmlformats.org/officeDocument/2006/relationships/hyperlink" Target="http://eur-lex.europa.eu/legal-content/EN/TXT/PDF/?uri=CELEX:32016L1148&amp;from=EN" TargetMode="External"/><Relationship Id="rId12" Type="http://schemas.openxmlformats.org/officeDocument/2006/relationships/hyperlink" Target="https://developers.facebook.com/docs/facebook-login/manually-build-a-login-flow" TargetMode="External"/><Relationship Id="rId17" Type="http://schemas.openxmlformats.org/officeDocument/2006/relationships/hyperlink" Target="https://standards.cen.eu/" TargetMode="External"/><Relationship Id="rId25" Type="http://schemas.openxmlformats.org/officeDocument/2006/relationships/hyperlink" Target="https://www.enisa.europa.eu/publications/corporate-documents/enisa-programming-document-2018-2020" TargetMode="External"/><Relationship Id="rId33" Type="http://schemas.openxmlformats.org/officeDocument/2006/relationships/hyperlink" Target="https://www.ietf.org/standards/ids/" TargetMode="External"/><Relationship Id="rId2" Type="http://schemas.openxmlformats.org/officeDocument/2006/relationships/hyperlink" Target="https://www.rfc-editor.org/rfc/rfc2026.txt" TargetMode="External"/><Relationship Id="rId16" Type="http://schemas.openxmlformats.org/officeDocument/2006/relationships/hyperlink" Target="https://docs.microsoft.com/en-us/azure/active-directory/develop/active-directory-protocols-oauth-code" TargetMode="External"/><Relationship Id="rId20" Type="http://schemas.openxmlformats.org/officeDocument/2006/relationships/hyperlink" Target="http://eur-lex.europa.eu/legal-content/EN/TXT/PDF/?uri=CELEX:32016L2102&amp;qid=1521731286208&amp;from=ES" TargetMode="External"/><Relationship Id="rId29" Type="http://schemas.openxmlformats.org/officeDocument/2006/relationships/hyperlink" Target="https://www.ietf.org/standards/rfcs/" TargetMode="External"/><Relationship Id="rId1" Type="http://schemas.openxmlformats.org/officeDocument/2006/relationships/hyperlink" Target="http://eur-lex.europa.eu/legal-content/EN/TXT/PDF/?uri=CELEX:32012R1025&amp;from=EN" TargetMode="External"/><Relationship Id="rId6" Type="http://schemas.openxmlformats.org/officeDocument/2006/relationships/hyperlink" Target="https://datatracker.ietf.org/ipr/search/?rfc=6749&amp;submit=rfc" TargetMode="External"/><Relationship Id="rId11" Type="http://schemas.openxmlformats.org/officeDocument/2006/relationships/hyperlink" Target="https://developer.linkedin.com/docs/oauth2" TargetMode="External"/><Relationship Id="rId24" Type="http://schemas.openxmlformats.org/officeDocument/2006/relationships/hyperlink" Target="http://www.etsi.org/images/files/WorkProgramme/etsi-work-programme-2017-2018.pdf" TargetMode="External"/><Relationship Id="rId32" Type="http://schemas.openxmlformats.org/officeDocument/2006/relationships/hyperlink" Target="https://datatracker.ietf.org/" TargetMode="External"/><Relationship Id="rId5" Type="http://schemas.openxmlformats.org/officeDocument/2006/relationships/hyperlink" Target="http://trustee.ietf.org/license-info/IETF-TLP-4.pdf" TargetMode="External"/><Relationship Id="rId15" Type="http://schemas.openxmlformats.org/officeDocument/2006/relationships/hyperlink" Target="https://aws.amazon.com/es/blogs/compute/introducing-custom-authorizers-in-amazon-api-gateway/" TargetMode="External"/><Relationship Id="rId23" Type="http://schemas.openxmlformats.org/officeDocument/2006/relationships/hyperlink" Target="https://www.cencenelec.eu/News/Publications/Publications/WorkProgramme-2018_UK_acces.pdf" TargetMode="External"/><Relationship Id="rId28" Type="http://schemas.openxmlformats.org/officeDocument/2006/relationships/hyperlink" Target="https://www.rfc-editor.org/rfc/rfc2026.txt" TargetMode="External"/><Relationship Id="rId10" Type="http://schemas.openxmlformats.org/officeDocument/2006/relationships/hyperlink" Target="https://tools.ietf.org/html/rfc6750" TargetMode="External"/><Relationship Id="rId19" Type="http://schemas.openxmlformats.org/officeDocument/2006/relationships/hyperlink" Target="https://www.cencenelec.eu/standards/Sectors/ICT/Pages/default.aspx" TargetMode="External"/><Relationship Id="rId31" Type="http://schemas.openxmlformats.org/officeDocument/2006/relationships/hyperlink" Target="https://www.ietf.org/standards/" TargetMode="External"/><Relationship Id="rId4" Type="http://schemas.openxmlformats.org/officeDocument/2006/relationships/hyperlink" Target="https://www.rfc-editor.org/rfc/rfc5378.txt" TargetMode="External"/><Relationship Id="rId9" Type="http://schemas.openxmlformats.org/officeDocument/2006/relationships/hyperlink" Target="https://www.w3.org/TR/xhtml11/" TargetMode="External"/><Relationship Id="rId14" Type="http://schemas.openxmlformats.org/officeDocument/2006/relationships/hyperlink" Target="https://developers.google.com/identity/protocols/OAuth2" TargetMode="External"/><Relationship Id="rId22" Type="http://schemas.openxmlformats.org/officeDocument/2006/relationships/hyperlink" Target="https://www.enisa.europa.eu/publications/corporate-documents/enisa-programming-document-2018-2020" TargetMode="External"/><Relationship Id="rId27" Type="http://schemas.openxmlformats.org/officeDocument/2006/relationships/hyperlink" Target="https://www.ietf.org/standards/process/" TargetMode="External"/><Relationship Id="rId30" Type="http://schemas.openxmlformats.org/officeDocument/2006/relationships/hyperlink" Target="https://www.rfc-editor.org/rfc/rfc2026.txt" TargetMode="External"/><Relationship Id="rId35" Type="http://schemas.openxmlformats.org/officeDocument/2006/relationships/hyperlink" Target="https://tools.ietf.org/html/rfc6819"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355152740514277"/>
          <c:y val="6.6305003013863772E-2"/>
          <c:w val="0.63128664892010666"/>
          <c:h val="0.72177996099111452"/>
        </c:manualLayout>
      </c:layout>
      <c:barChart>
        <c:barDir val="col"/>
        <c:grouping val="clustered"/>
        <c:varyColors val="0"/>
        <c:ser>
          <c:idx val="0"/>
          <c:order val="0"/>
          <c:tx>
            <c:strRef>
              <c:f>Sheet1!$B$1</c:f>
              <c:strCache>
                <c:ptCount val="1"/>
                <c:pt idx="0">
                  <c:v>CAMSS Strength</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Market acceptance</c:v>
                </c:pt>
                <c:pt idx="1">
                  <c:v>Coherence principle</c:v>
                </c:pt>
                <c:pt idx="2">
                  <c:v>Attributes</c:v>
                </c:pt>
                <c:pt idx="3">
                  <c:v>Requirements</c:v>
                </c:pt>
              </c:strCache>
            </c:strRef>
          </c:cat>
          <c:val>
            <c:numRef>
              <c:f>Sheet1!$B$2:$B$5</c:f>
              <c:numCache>
                <c:formatCode>0%</c:formatCode>
                <c:ptCount val="4"/>
                <c:pt idx="0">
                  <c:v>1</c:v>
                </c:pt>
                <c:pt idx="1">
                  <c:v>1</c:v>
                </c:pt>
                <c:pt idx="2">
                  <c:v>1</c:v>
                </c:pt>
                <c:pt idx="3">
                  <c:v>1</c:v>
                </c:pt>
              </c:numCache>
            </c:numRef>
          </c:val>
          <c:extLst>
            <c:ext xmlns:c16="http://schemas.microsoft.com/office/drawing/2014/chart" uri="{C3380CC4-5D6E-409C-BE32-E72D297353CC}">
              <c16:uniqueId val="{00000000-1FA9-41FB-9EC7-45DD9ABBC738}"/>
            </c:ext>
          </c:extLst>
        </c:ser>
        <c:ser>
          <c:idx val="1"/>
          <c:order val="1"/>
          <c:tx>
            <c:strRef>
              <c:f>Sheet1!$C$1</c:f>
              <c:strCache>
                <c:ptCount val="1"/>
                <c:pt idx="0">
                  <c:v>Automated Score (Favourable answers)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Market acceptance</c:v>
                </c:pt>
                <c:pt idx="1">
                  <c:v>Coherence principle</c:v>
                </c:pt>
                <c:pt idx="2">
                  <c:v>Attributes</c:v>
                </c:pt>
                <c:pt idx="3">
                  <c:v>Requirements</c:v>
                </c:pt>
              </c:strCache>
            </c:strRef>
          </c:cat>
          <c:val>
            <c:numRef>
              <c:f>Sheet1!$C$2:$C$5</c:f>
              <c:numCache>
                <c:formatCode>0%</c:formatCode>
                <c:ptCount val="4"/>
                <c:pt idx="0">
                  <c:v>1</c:v>
                </c:pt>
                <c:pt idx="1">
                  <c:v>1</c:v>
                </c:pt>
                <c:pt idx="2">
                  <c:v>1</c:v>
                </c:pt>
                <c:pt idx="3">
                  <c:v>1</c:v>
                </c:pt>
              </c:numCache>
            </c:numRef>
          </c:val>
          <c:extLst>
            <c:ext xmlns:c16="http://schemas.microsoft.com/office/drawing/2014/chart" uri="{C3380CC4-5D6E-409C-BE32-E72D297353CC}">
              <c16:uniqueId val="{00000001-1FA9-41FB-9EC7-45DD9ABBC738}"/>
            </c:ext>
          </c:extLst>
        </c:ser>
        <c:dLbls>
          <c:showLegendKey val="0"/>
          <c:showVal val="0"/>
          <c:showCatName val="0"/>
          <c:showSerName val="0"/>
          <c:showPercent val="0"/>
          <c:showBubbleSize val="0"/>
        </c:dLbls>
        <c:gapWidth val="100"/>
        <c:overlap val="83"/>
        <c:axId val="131562112"/>
        <c:axId val="132667648"/>
      </c:barChart>
      <c:catAx>
        <c:axId val="13156211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2667648"/>
        <c:crosses val="autoZero"/>
        <c:auto val="1"/>
        <c:lblAlgn val="ctr"/>
        <c:lblOffset val="100"/>
        <c:noMultiLvlLbl val="0"/>
      </c:catAx>
      <c:valAx>
        <c:axId val="13266764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1562112"/>
        <c:crosses val="autoZero"/>
        <c:crossBetween val="between"/>
      </c:valAx>
      <c:spPr>
        <a:noFill/>
        <a:ln>
          <a:noFill/>
        </a:ln>
        <a:effectLst/>
      </c:spPr>
    </c:plotArea>
    <c:legend>
      <c:legendPos val="r"/>
      <c:layout>
        <c:manualLayout>
          <c:xMode val="edge"/>
          <c:yMode val="edge"/>
          <c:x val="0.7407614696763527"/>
          <c:y val="0.23758819138433387"/>
          <c:w val="0.25627688364809575"/>
          <c:h val="0.503318097895990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BCB5C12746E54CA9BC03E8B376BF68" ma:contentTypeVersion="8" ma:contentTypeDescription="Create a new document." ma:contentTypeScope="" ma:versionID="1e7b78dd9237ce2dd77eac1e77a4b2bb">
  <xsd:schema xmlns:xsd="http://www.w3.org/2001/XMLSchema" xmlns:xs="http://www.w3.org/2001/XMLSchema" xmlns:p="http://schemas.microsoft.com/office/2006/metadata/properties" xmlns:ns2="8253af2a-fd0f-40a4-8001-231cdeab6c87" xmlns:ns3="6b2d526b-f179-4f8c-9fce-7a2c6e455f6f" targetNamespace="http://schemas.microsoft.com/office/2006/metadata/properties" ma:root="true" ma:fieldsID="3ae851eb307c4c81c8d1f044ce628a9a" ns2:_="" ns3:_="">
    <xsd:import namespace="8253af2a-fd0f-40a4-8001-231cdeab6c87"/>
    <xsd:import namespace="6b2d526b-f179-4f8c-9fce-7a2c6e455f6f"/>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2:MediaServiceAutoTags" minOccurs="0"/>
                <xsd:element ref="ns2:MediaServiceLocation"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53af2a-fd0f-40a4-8001-231cdeab6c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Location" ma:index="13"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2d526b-f179-4f8c-9fce-7a2c6e455f6f"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0824A-0A29-46D2-8B74-B03F3BFAE5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53af2a-fd0f-40a4-8001-231cdeab6c87"/>
    <ds:schemaRef ds:uri="6b2d526b-f179-4f8c-9fce-7a2c6e455f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F54794-E6AB-4995-B3CA-A18ABAE13427}">
  <ds:schemaRefs>
    <ds:schemaRef ds:uri="http://schemas.microsoft.com/sharepoint/v3/contenttype/forms"/>
  </ds:schemaRefs>
</ds:datastoreItem>
</file>

<file path=customXml/itemProps3.xml><?xml version="1.0" encoding="utf-8"?>
<ds:datastoreItem xmlns:ds="http://schemas.openxmlformats.org/officeDocument/2006/customXml" ds:itemID="{0B59B063-8708-47D8-B135-8338E85FA0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ACB4774-283D-4181-A8C1-223DEC4A8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3673</Words>
  <Characters>20203</Characters>
  <Application>Microsoft Office Word</Application>
  <DocSecurity>0</DocSecurity>
  <Lines>168</Lines>
  <Paragraphs>47</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everis IT</Company>
  <LinksUpToDate>false</LinksUpToDate>
  <CharactersWithSpaces>23829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everis</dc:creator>
  <cp:lastModifiedBy>Zuidweg, J. (Han) - Forum Standaardisatie</cp:lastModifiedBy>
  <cp:revision>4</cp:revision>
  <cp:lastPrinted>2018-06-07T15:07:00Z</cp:lastPrinted>
  <dcterms:created xsi:type="dcterms:W3CDTF">2018-06-07T15:07:00Z</dcterms:created>
  <dcterms:modified xsi:type="dcterms:W3CDTF">2018-06-22T10:10:00Z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0x01010013BCB5C12746E54CA9BC03E8B376BF68</vt:lpwstr>
  </property>
</Properties>
</file>