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24E1F" w14:textId="77777777" w:rsidR="006964DA" w:rsidRPr="004F7A32" w:rsidRDefault="006964DA" w:rsidP="006964DA">
      <w:pPr>
        <w:pStyle w:val="Kop1"/>
        <w:rPr>
          <w:rFonts w:ascii="Verdana" w:hAnsi="Verdana"/>
          <w:sz w:val="22"/>
          <w:szCs w:val="22"/>
        </w:rPr>
      </w:pPr>
      <w:bookmarkStart w:id="0" w:name="_Toc510522457"/>
      <w:bookmarkStart w:id="1" w:name="_Ref510524585"/>
      <w:bookmarkStart w:id="2" w:name="_Ref510524604"/>
      <w:bookmarkStart w:id="3" w:name="_Toc518311889"/>
      <w:r w:rsidRPr="004F7A32">
        <w:rPr>
          <w:rFonts w:ascii="Verdana" w:hAnsi="Verdana"/>
          <w:sz w:val="22"/>
          <w:szCs w:val="22"/>
        </w:rPr>
        <w:t>Tactiek</w:t>
      </w:r>
      <w:bookmarkEnd w:id="0"/>
      <w:bookmarkEnd w:id="1"/>
      <w:bookmarkEnd w:id="2"/>
      <w:bookmarkEnd w:id="3"/>
    </w:p>
    <w:p w14:paraId="066BE238" w14:textId="77777777" w:rsidR="006964DA" w:rsidRPr="004F7A32" w:rsidRDefault="006964DA" w:rsidP="006964DA">
      <w:pPr>
        <w:pStyle w:val="Kop2"/>
        <w:rPr>
          <w:rFonts w:ascii="Verdana" w:hAnsi="Verdana"/>
          <w:sz w:val="22"/>
          <w:szCs w:val="22"/>
        </w:rPr>
      </w:pPr>
      <w:bookmarkStart w:id="4" w:name="_Ref396406376"/>
      <w:bookmarkStart w:id="5" w:name="_Toc510522458"/>
      <w:bookmarkStart w:id="6" w:name="_Toc518311890"/>
      <w:r w:rsidRPr="004F7A32">
        <w:rPr>
          <w:rFonts w:ascii="Verdana" w:hAnsi="Verdana"/>
          <w:sz w:val="22"/>
          <w:szCs w:val="22"/>
        </w:rPr>
        <w:t>Community</w:t>
      </w:r>
      <w:bookmarkEnd w:id="4"/>
      <w:bookmarkEnd w:id="5"/>
      <w:bookmarkEnd w:id="6"/>
    </w:p>
    <w:p w14:paraId="73D2217B" w14:textId="77777777" w:rsidR="006964DA" w:rsidRPr="004F7A32" w:rsidRDefault="006964DA" w:rsidP="006964DA">
      <w:pPr>
        <w:spacing w:line="240" w:lineRule="auto"/>
        <w:jc w:val="left"/>
        <w:rPr>
          <w:sz w:val="22"/>
          <w:szCs w:val="22"/>
        </w:rPr>
      </w:pPr>
      <w:r w:rsidRPr="004F7A32">
        <w:rPr>
          <w:sz w:val="22"/>
          <w:szCs w:val="22"/>
        </w:rPr>
        <w:t xml:space="preserve">De community van MIM (en HIM) omvat geen eindgebruikers van informatie maar specialisten die zich bezighouden met het opstellen van informatiemodellen. </w:t>
      </w:r>
    </w:p>
    <w:p w14:paraId="5F5B7327" w14:textId="77777777" w:rsidR="006964DA" w:rsidRPr="004F7A32" w:rsidRDefault="006964DA" w:rsidP="006964DA">
      <w:pPr>
        <w:spacing w:line="240" w:lineRule="auto"/>
        <w:jc w:val="left"/>
        <w:rPr>
          <w:sz w:val="22"/>
          <w:szCs w:val="22"/>
        </w:rPr>
      </w:pPr>
      <w:r w:rsidRPr="004F7A32">
        <w:rPr>
          <w:sz w:val="22"/>
          <w:szCs w:val="22"/>
        </w:rPr>
        <w:t>De volgende stakeholders zijn relevant:</w:t>
      </w:r>
    </w:p>
    <w:p w14:paraId="525D8897" w14:textId="77777777" w:rsidR="006964DA" w:rsidRDefault="006964DA" w:rsidP="006964DA">
      <w:pPr>
        <w:pStyle w:val="Lijstalinea"/>
        <w:numPr>
          <w:ilvl w:val="0"/>
          <w:numId w:val="2"/>
        </w:numPr>
        <w:spacing w:line="240" w:lineRule="auto"/>
        <w:jc w:val="left"/>
        <w:rPr>
          <w:sz w:val="22"/>
          <w:szCs w:val="22"/>
        </w:rPr>
      </w:pPr>
      <w:r>
        <w:rPr>
          <w:sz w:val="22"/>
          <w:szCs w:val="22"/>
        </w:rPr>
        <w:t>DSO - Regieorganisatie</w:t>
      </w:r>
    </w:p>
    <w:p w14:paraId="694DF87F" w14:textId="77777777" w:rsidR="006964DA" w:rsidRPr="004F7A32" w:rsidRDefault="006964DA" w:rsidP="006964DA">
      <w:pPr>
        <w:pStyle w:val="Lijstalinea"/>
        <w:numPr>
          <w:ilvl w:val="0"/>
          <w:numId w:val="2"/>
        </w:numPr>
        <w:spacing w:line="240" w:lineRule="auto"/>
        <w:jc w:val="left"/>
        <w:rPr>
          <w:sz w:val="22"/>
          <w:szCs w:val="22"/>
        </w:rPr>
      </w:pPr>
      <w:r w:rsidRPr="004F7A32">
        <w:rPr>
          <w:sz w:val="22"/>
          <w:szCs w:val="22"/>
        </w:rPr>
        <w:t>DSO – informatiehuizen</w:t>
      </w:r>
    </w:p>
    <w:p w14:paraId="6F4312B3" w14:textId="77777777" w:rsidR="006964DA" w:rsidRPr="004F7A32" w:rsidRDefault="006964DA" w:rsidP="006964DA">
      <w:pPr>
        <w:pStyle w:val="Lijstalinea"/>
        <w:numPr>
          <w:ilvl w:val="0"/>
          <w:numId w:val="2"/>
        </w:numPr>
        <w:spacing w:line="240" w:lineRule="auto"/>
        <w:jc w:val="left"/>
        <w:rPr>
          <w:sz w:val="22"/>
          <w:szCs w:val="22"/>
        </w:rPr>
      </w:pPr>
      <w:r w:rsidRPr="004F7A32">
        <w:rPr>
          <w:sz w:val="22"/>
          <w:szCs w:val="22"/>
        </w:rPr>
        <w:t>VNG Realisatie</w:t>
      </w:r>
    </w:p>
    <w:p w14:paraId="7B3152D0" w14:textId="77777777" w:rsidR="006964DA" w:rsidRPr="004F7A32" w:rsidRDefault="006964DA" w:rsidP="006964DA">
      <w:pPr>
        <w:pStyle w:val="Lijstalinea"/>
        <w:numPr>
          <w:ilvl w:val="0"/>
          <w:numId w:val="2"/>
        </w:numPr>
        <w:spacing w:line="240" w:lineRule="auto"/>
        <w:jc w:val="left"/>
        <w:rPr>
          <w:sz w:val="22"/>
          <w:szCs w:val="22"/>
        </w:rPr>
      </w:pPr>
      <w:r w:rsidRPr="004F7A32">
        <w:rPr>
          <w:sz w:val="22"/>
          <w:szCs w:val="22"/>
        </w:rPr>
        <w:t>Kadaster</w:t>
      </w:r>
    </w:p>
    <w:p w14:paraId="2E42E415" w14:textId="77777777" w:rsidR="006964DA" w:rsidRPr="004F7A32" w:rsidRDefault="006964DA" w:rsidP="006964DA">
      <w:pPr>
        <w:pStyle w:val="Lijstalinea"/>
        <w:numPr>
          <w:ilvl w:val="0"/>
          <w:numId w:val="2"/>
        </w:numPr>
        <w:spacing w:line="240" w:lineRule="auto"/>
        <w:jc w:val="left"/>
        <w:rPr>
          <w:sz w:val="22"/>
          <w:szCs w:val="22"/>
        </w:rPr>
      </w:pPr>
      <w:r w:rsidRPr="004F7A32">
        <w:rPr>
          <w:sz w:val="22"/>
          <w:szCs w:val="22"/>
        </w:rPr>
        <w:t>Geonovum</w:t>
      </w:r>
    </w:p>
    <w:p w14:paraId="5734D078" w14:textId="77777777" w:rsidR="006964DA" w:rsidRPr="004F7A32" w:rsidRDefault="006964DA" w:rsidP="006964DA">
      <w:pPr>
        <w:pStyle w:val="Lijstalinea"/>
        <w:numPr>
          <w:ilvl w:val="0"/>
          <w:numId w:val="2"/>
        </w:numPr>
        <w:spacing w:line="240" w:lineRule="auto"/>
        <w:jc w:val="left"/>
        <w:rPr>
          <w:sz w:val="22"/>
          <w:szCs w:val="22"/>
        </w:rPr>
      </w:pPr>
      <w:r>
        <w:rPr>
          <w:sz w:val="22"/>
          <w:szCs w:val="22"/>
        </w:rPr>
        <w:t xml:space="preserve">Werkgroep </w:t>
      </w:r>
      <w:r w:rsidRPr="004F7A32">
        <w:rPr>
          <w:sz w:val="22"/>
          <w:szCs w:val="22"/>
        </w:rPr>
        <w:t>GAB</w:t>
      </w:r>
      <w:r>
        <w:rPr>
          <w:sz w:val="22"/>
          <w:szCs w:val="22"/>
        </w:rPr>
        <w:t xml:space="preserve"> – Gemeenschappelijke Afspraken Berichten</w:t>
      </w:r>
    </w:p>
    <w:p w14:paraId="202E7971" w14:textId="77777777" w:rsidR="006964DA" w:rsidRPr="004F7A32" w:rsidRDefault="006964DA" w:rsidP="006964DA">
      <w:pPr>
        <w:spacing w:line="240" w:lineRule="auto"/>
        <w:jc w:val="left"/>
        <w:rPr>
          <w:sz w:val="22"/>
          <w:szCs w:val="22"/>
        </w:rPr>
      </w:pPr>
      <w:r w:rsidRPr="004F7A32">
        <w:rPr>
          <w:sz w:val="22"/>
          <w:szCs w:val="22"/>
        </w:rPr>
        <w:t>Daarnaast is er de ambitie om MIM uit te dragen als een nationale standaard. In dat geval zijn er ook vele andere overheidsorganisaties die MIM gaan toepassen. Primair zal Forum Standaardisatie worden benaderd of MIM kan worden toegevoegd aan de Pas Toe Of Leg Uit Lijst van het Forum Standaardisatie</w:t>
      </w:r>
    </w:p>
    <w:p w14:paraId="31F5A278" w14:textId="77777777" w:rsidR="006964DA" w:rsidRPr="004F7A32" w:rsidRDefault="006964DA" w:rsidP="006964DA">
      <w:pPr>
        <w:pStyle w:val="Kop2"/>
        <w:rPr>
          <w:rFonts w:ascii="Verdana" w:hAnsi="Verdana"/>
          <w:sz w:val="22"/>
          <w:szCs w:val="22"/>
        </w:rPr>
      </w:pPr>
      <w:bookmarkStart w:id="7" w:name="_Toc510522459"/>
      <w:bookmarkStart w:id="8" w:name="_Ref510524908"/>
      <w:bookmarkStart w:id="9" w:name="_Toc518311891"/>
      <w:r w:rsidRPr="004F7A32">
        <w:rPr>
          <w:rFonts w:ascii="Verdana" w:hAnsi="Verdana"/>
          <w:sz w:val="22"/>
          <w:szCs w:val="22"/>
        </w:rPr>
        <w:t>Architectuur</w:t>
      </w:r>
      <w:bookmarkEnd w:id="7"/>
      <w:bookmarkEnd w:id="8"/>
      <w:bookmarkEnd w:id="9"/>
    </w:p>
    <w:p w14:paraId="376694D6" w14:textId="77777777" w:rsidR="006964DA" w:rsidRPr="004F7A32" w:rsidRDefault="006964DA" w:rsidP="006964DA">
      <w:pPr>
        <w:pStyle w:val="Kop3"/>
        <w:rPr>
          <w:rFonts w:ascii="Verdana" w:hAnsi="Verdana"/>
          <w:szCs w:val="22"/>
        </w:rPr>
      </w:pPr>
      <w:bookmarkStart w:id="10" w:name="_Ref266707177"/>
      <w:bookmarkStart w:id="11" w:name="_Toc510522460"/>
      <w:bookmarkStart w:id="12" w:name="_Toc518311892"/>
      <w:r w:rsidRPr="004F7A32">
        <w:rPr>
          <w:rFonts w:ascii="Verdana" w:hAnsi="Verdana"/>
          <w:szCs w:val="22"/>
        </w:rPr>
        <w:t>Internationale, Europese en nationale geostandaardisatiegemeenschap</w:t>
      </w:r>
      <w:bookmarkEnd w:id="10"/>
      <w:bookmarkEnd w:id="11"/>
      <w:bookmarkEnd w:id="12"/>
    </w:p>
    <w:p w14:paraId="756894E7" w14:textId="77777777" w:rsidR="006964DA" w:rsidRPr="004F7A32" w:rsidRDefault="006964DA" w:rsidP="006964DA">
      <w:pPr>
        <w:rPr>
          <w:sz w:val="22"/>
          <w:szCs w:val="22"/>
        </w:rPr>
      </w:pPr>
    </w:p>
    <w:p w14:paraId="482566D7" w14:textId="77777777" w:rsidR="006964DA" w:rsidRPr="004F7A32" w:rsidRDefault="006964DA" w:rsidP="006964DA">
      <w:pPr>
        <w:rPr>
          <w:sz w:val="22"/>
          <w:szCs w:val="22"/>
        </w:rPr>
      </w:pPr>
      <w:r w:rsidRPr="004F7A32">
        <w:rPr>
          <w:rFonts w:eastAsia="Calibri"/>
          <w:sz w:val="22"/>
          <w:szCs w:val="22"/>
          <w:lang w:eastAsia="en-US"/>
        </w:rPr>
        <w:t>Op de website van Geonovum staat een overzicht van standaardisatieorganisaties op nationaal, Europees en internationaal niveau</w:t>
      </w:r>
      <w:r w:rsidRPr="004F7A32">
        <w:rPr>
          <w:rStyle w:val="Voetnootmarkering"/>
          <w:rFonts w:eastAsia="Calibri" w:cs="ArialMT"/>
          <w:sz w:val="22"/>
          <w:szCs w:val="22"/>
          <w:lang w:eastAsia="en-US"/>
        </w:rPr>
        <w:footnoteReference w:id="1"/>
      </w:r>
      <w:r w:rsidRPr="004F7A32">
        <w:rPr>
          <w:rFonts w:eastAsia="Calibri"/>
          <w:sz w:val="22"/>
          <w:szCs w:val="22"/>
          <w:lang w:eastAsia="en-US"/>
        </w:rPr>
        <w:t xml:space="preserve">. </w:t>
      </w:r>
      <w:r w:rsidRPr="004F7A32">
        <w:rPr>
          <w:sz w:val="22"/>
          <w:szCs w:val="22"/>
        </w:rPr>
        <w:t>Wij zijn op deze drie niveaus actief en daardoor op de hoogte van relevante ontwikkelingen.</w:t>
      </w:r>
    </w:p>
    <w:p w14:paraId="5DE728EF" w14:textId="77777777" w:rsidR="006964DA" w:rsidRPr="004F7A32" w:rsidRDefault="006964DA" w:rsidP="006964DA">
      <w:pPr>
        <w:rPr>
          <w:sz w:val="22"/>
          <w:szCs w:val="22"/>
        </w:rPr>
      </w:pPr>
    </w:p>
    <w:p w14:paraId="081A4912" w14:textId="77777777" w:rsidR="006964DA" w:rsidRPr="004F7A32" w:rsidRDefault="006964DA" w:rsidP="006964DA">
      <w:pPr>
        <w:rPr>
          <w:sz w:val="22"/>
          <w:szCs w:val="22"/>
        </w:rPr>
      </w:pPr>
      <w:r w:rsidRPr="004F7A32">
        <w:rPr>
          <w:sz w:val="22"/>
          <w:szCs w:val="22"/>
        </w:rPr>
        <w:t>Geonovum is lid van het Forum Standaardisatie zodat een goede inbreng van de geo-standaarden naar de e-overheid en visa versa is geborgd. De voorbereidingen van de bijeenkomsten van ISO/TC 211 en CEN/TC 287 en stemmingen worden gedaan in de NEN normcommissie 351 240 Geo-informatie</w:t>
      </w:r>
      <w:r w:rsidRPr="004F7A32">
        <w:rPr>
          <w:rStyle w:val="Voetnootmarkering"/>
          <w:sz w:val="22"/>
          <w:szCs w:val="22"/>
        </w:rPr>
        <w:footnoteReference w:id="2"/>
      </w:r>
      <w:r w:rsidRPr="004F7A32">
        <w:rPr>
          <w:sz w:val="22"/>
          <w:szCs w:val="22"/>
        </w:rPr>
        <w:t>. Geonovum is voorzitter van deze normcommissie die bestaat uit een representatieve afvaardiging van Nederlandse belanghebbende organisaties.</w:t>
      </w:r>
    </w:p>
    <w:p w14:paraId="7371EEC2" w14:textId="77777777" w:rsidR="006964DA" w:rsidRPr="004F7A32" w:rsidRDefault="006964DA" w:rsidP="006964DA">
      <w:pPr>
        <w:rPr>
          <w:sz w:val="22"/>
          <w:szCs w:val="22"/>
        </w:rPr>
      </w:pPr>
      <w:r w:rsidRPr="004F7A32">
        <w:rPr>
          <w:sz w:val="22"/>
          <w:szCs w:val="22"/>
        </w:rPr>
        <w:t>Het plan is om de MIM-standaard op te laten nemen op de PAS TOE OF LEG UIT lijst van het Forum voor standaardisatie</w:t>
      </w:r>
    </w:p>
    <w:p w14:paraId="74E183A8" w14:textId="77777777" w:rsidR="006964DA" w:rsidRPr="004F7A32" w:rsidRDefault="006964DA" w:rsidP="006964DA">
      <w:pPr>
        <w:rPr>
          <w:sz w:val="22"/>
          <w:szCs w:val="22"/>
        </w:rPr>
      </w:pPr>
    </w:p>
    <w:p w14:paraId="0A84B58D" w14:textId="77777777" w:rsidR="006964DA" w:rsidRPr="004F7A32" w:rsidRDefault="006964DA" w:rsidP="006964DA">
      <w:pPr>
        <w:rPr>
          <w:rFonts w:eastAsia="Calibri" w:cs="ArialMT"/>
          <w:sz w:val="22"/>
          <w:szCs w:val="22"/>
          <w:lang w:eastAsia="en-US"/>
        </w:rPr>
      </w:pPr>
      <w:r w:rsidRPr="004F7A32">
        <w:rPr>
          <w:sz w:val="22"/>
          <w:szCs w:val="22"/>
        </w:rPr>
        <w:t>Belangrijk uitgangspunt van Geonovum bij standaardisatie is de afstemming met internationale ontwikkelingen. Ontwikkelingen in standaarden op internationaal, Europees en nationaal niveau zijn van invloed op het beheer van de standaarden. Geonovum zorgt ervoor dat nieuwe en veranderde internationale geo-standaarden, indien relevant en door Nederland ondersteund, geadopteerd en erkend worden in Nederland.</w:t>
      </w:r>
      <w:r w:rsidRPr="004F7A32">
        <w:rPr>
          <w:rFonts w:eastAsia="Calibri" w:cs="ArialMT"/>
          <w:sz w:val="22"/>
          <w:szCs w:val="22"/>
          <w:lang w:eastAsia="en-US"/>
        </w:rPr>
        <w:t xml:space="preserve"> </w:t>
      </w:r>
    </w:p>
    <w:p w14:paraId="20359CE5" w14:textId="77777777" w:rsidR="006964DA" w:rsidRPr="004F7A32" w:rsidRDefault="006964DA" w:rsidP="006964DA">
      <w:pPr>
        <w:rPr>
          <w:sz w:val="22"/>
          <w:szCs w:val="22"/>
        </w:rPr>
      </w:pPr>
    </w:p>
    <w:p w14:paraId="43D0B949" w14:textId="77777777" w:rsidR="006964DA" w:rsidRPr="004F7A32" w:rsidRDefault="006964DA" w:rsidP="006964DA">
      <w:pPr>
        <w:rPr>
          <w:sz w:val="22"/>
          <w:szCs w:val="22"/>
        </w:rPr>
      </w:pPr>
      <w:r w:rsidRPr="004F7A32">
        <w:rPr>
          <w:sz w:val="22"/>
          <w:szCs w:val="22"/>
        </w:rPr>
        <w:t>Geonovum behartigt de Nederlandse belangen voor geo-standaarden door actieve participatie binnen de internationale standaardisatiefora ISO/TC 211</w:t>
      </w:r>
      <w:r w:rsidRPr="004F7A32">
        <w:rPr>
          <w:rStyle w:val="Voetnootmarkering"/>
          <w:sz w:val="22"/>
          <w:szCs w:val="22"/>
        </w:rPr>
        <w:footnoteReference w:id="3"/>
      </w:r>
      <w:r w:rsidRPr="004F7A32">
        <w:rPr>
          <w:sz w:val="22"/>
          <w:szCs w:val="22"/>
        </w:rPr>
        <w:t>, OGC</w:t>
      </w:r>
      <w:r w:rsidRPr="004F7A32">
        <w:rPr>
          <w:rStyle w:val="Voetnootmarkering"/>
          <w:sz w:val="22"/>
          <w:szCs w:val="22"/>
        </w:rPr>
        <w:footnoteReference w:id="4"/>
      </w:r>
      <w:r w:rsidRPr="004F7A32">
        <w:rPr>
          <w:sz w:val="22"/>
          <w:szCs w:val="22"/>
        </w:rPr>
        <w:t xml:space="preserve"> en </w:t>
      </w:r>
      <w:r w:rsidRPr="004F7A32">
        <w:rPr>
          <w:sz w:val="22"/>
          <w:szCs w:val="22"/>
        </w:rPr>
        <w:lastRenderedPageBreak/>
        <w:t>W3C</w:t>
      </w:r>
      <w:r w:rsidRPr="004F7A32">
        <w:rPr>
          <w:rStyle w:val="Voetnootmarkering"/>
          <w:sz w:val="22"/>
          <w:szCs w:val="22"/>
        </w:rPr>
        <w:footnoteReference w:id="5"/>
      </w:r>
      <w:r w:rsidRPr="004F7A32">
        <w:rPr>
          <w:sz w:val="22"/>
          <w:szCs w:val="22"/>
        </w:rPr>
        <w:t>. Deze standaardisatie organisaties maken technische geo-standaarden die Nederland semantisch invult. Geonovum is tevens betrokken bij de Europese richtlijn INSPIRE</w:t>
      </w:r>
      <w:r w:rsidRPr="004F7A32">
        <w:rPr>
          <w:rStyle w:val="Voetnootmarkering"/>
          <w:sz w:val="22"/>
          <w:szCs w:val="22"/>
        </w:rPr>
        <w:footnoteReference w:id="6"/>
      </w:r>
      <w:r w:rsidRPr="004F7A32">
        <w:rPr>
          <w:sz w:val="22"/>
          <w:szCs w:val="22"/>
        </w:rPr>
        <w:t xml:space="preserve">. </w:t>
      </w:r>
    </w:p>
    <w:p w14:paraId="3960F2EC" w14:textId="77777777" w:rsidR="006964DA" w:rsidRPr="004F7A32" w:rsidRDefault="006964DA" w:rsidP="006964DA">
      <w:pPr>
        <w:rPr>
          <w:sz w:val="22"/>
          <w:szCs w:val="22"/>
        </w:rPr>
      </w:pPr>
      <w:r w:rsidRPr="004F7A32">
        <w:rPr>
          <w:sz w:val="22"/>
          <w:szCs w:val="22"/>
        </w:rPr>
        <w:t>Participatie bestaat onder andere uit deelname aan de werkgroepen, die standaarden ontwikkelen en aanpassen. Daarnaast volgen wij de ontwikkelingen bij en OMG</w:t>
      </w:r>
      <w:r w:rsidRPr="004F7A32">
        <w:rPr>
          <w:rStyle w:val="Voetnootmarkering"/>
          <w:sz w:val="22"/>
          <w:szCs w:val="22"/>
        </w:rPr>
        <w:footnoteReference w:id="7"/>
      </w:r>
      <w:r w:rsidRPr="004F7A32">
        <w:rPr>
          <w:sz w:val="22"/>
          <w:szCs w:val="22"/>
        </w:rPr>
        <w:t xml:space="preserve"> die zich bezighouden met standaarden voor het web en ICT. En op Europees niveau in CEN/TC 287</w:t>
      </w:r>
      <w:r w:rsidRPr="004F7A32">
        <w:rPr>
          <w:rStyle w:val="Voetnootmarkering"/>
          <w:sz w:val="22"/>
          <w:szCs w:val="22"/>
        </w:rPr>
        <w:footnoteReference w:id="8"/>
      </w:r>
      <w:r w:rsidRPr="004F7A32">
        <w:rPr>
          <w:sz w:val="22"/>
          <w:szCs w:val="22"/>
        </w:rPr>
        <w:t>.</w:t>
      </w:r>
    </w:p>
    <w:p w14:paraId="57541390" w14:textId="77777777" w:rsidR="006964DA" w:rsidRPr="004F7A32" w:rsidRDefault="006964DA" w:rsidP="006964DA">
      <w:pPr>
        <w:rPr>
          <w:sz w:val="22"/>
          <w:szCs w:val="22"/>
        </w:rPr>
      </w:pPr>
    </w:p>
    <w:p w14:paraId="4F7F4E42" w14:textId="77777777" w:rsidR="006964DA" w:rsidRPr="004F7A32" w:rsidRDefault="006964DA" w:rsidP="006964DA">
      <w:pPr>
        <w:pStyle w:val="Kop3"/>
        <w:rPr>
          <w:rFonts w:ascii="Verdana" w:hAnsi="Verdana"/>
          <w:szCs w:val="22"/>
        </w:rPr>
      </w:pPr>
      <w:bookmarkStart w:id="13" w:name="_Ref260218619"/>
      <w:bookmarkStart w:id="14" w:name="_Toc510522461"/>
      <w:bookmarkStart w:id="15" w:name="_Toc518311893"/>
      <w:r w:rsidRPr="004F7A32">
        <w:rPr>
          <w:rFonts w:ascii="Verdana" w:hAnsi="Verdana"/>
          <w:szCs w:val="22"/>
        </w:rPr>
        <w:t>Samenwerking met andere beheerorganisaties</w:t>
      </w:r>
      <w:bookmarkEnd w:id="13"/>
      <w:bookmarkEnd w:id="14"/>
      <w:bookmarkEnd w:id="15"/>
    </w:p>
    <w:p w14:paraId="61EA16BC" w14:textId="77777777" w:rsidR="006964DA" w:rsidRPr="004F7A32" w:rsidRDefault="006964DA" w:rsidP="006964DA">
      <w:pPr>
        <w:rPr>
          <w:sz w:val="22"/>
          <w:szCs w:val="22"/>
        </w:rPr>
      </w:pPr>
    </w:p>
    <w:p w14:paraId="6C77258D" w14:textId="77777777" w:rsidR="006964DA" w:rsidRPr="004F7A32" w:rsidRDefault="006964DA" w:rsidP="006964DA">
      <w:pPr>
        <w:rPr>
          <w:sz w:val="22"/>
          <w:szCs w:val="22"/>
        </w:rPr>
      </w:pPr>
      <w:r w:rsidRPr="004F7A32">
        <w:rPr>
          <w:sz w:val="22"/>
          <w:szCs w:val="22"/>
        </w:rPr>
        <w:t>De belangrijkste partijen waarmee in het kader van MIM wordt samengewerkt zijn VNG Realisatie en het Kadaster. Deze organisaties hebben samen met Geonovm ook aan de wieg gestaan van MIM en hebben stappen gezet om MIM toe te passen in hun organisaties.</w:t>
      </w:r>
    </w:p>
    <w:p w14:paraId="31E88AB5" w14:textId="77777777" w:rsidR="006964DA" w:rsidRPr="004F7A32" w:rsidRDefault="006964DA" w:rsidP="006964DA">
      <w:pPr>
        <w:pStyle w:val="Kop3"/>
        <w:rPr>
          <w:rFonts w:ascii="Verdana" w:hAnsi="Verdana"/>
          <w:szCs w:val="22"/>
        </w:rPr>
      </w:pPr>
      <w:bookmarkStart w:id="16" w:name="_Ref260220171"/>
      <w:bookmarkStart w:id="17" w:name="_Toc510522462"/>
      <w:bookmarkStart w:id="18" w:name="_Toc518311894"/>
      <w:r w:rsidRPr="004F7A32">
        <w:rPr>
          <w:rFonts w:ascii="Verdana" w:hAnsi="Verdana"/>
          <w:szCs w:val="22"/>
        </w:rPr>
        <w:t>Raamwerk van geo-standaarden</w:t>
      </w:r>
      <w:bookmarkEnd w:id="16"/>
      <w:bookmarkEnd w:id="17"/>
      <w:bookmarkEnd w:id="18"/>
    </w:p>
    <w:p w14:paraId="411E1E97" w14:textId="77777777" w:rsidR="006964DA" w:rsidRPr="004F7A32" w:rsidRDefault="006964DA" w:rsidP="006964DA">
      <w:pPr>
        <w:rPr>
          <w:sz w:val="22"/>
          <w:szCs w:val="22"/>
        </w:rPr>
      </w:pPr>
      <w:r w:rsidRPr="004F7A32">
        <w:rPr>
          <w:sz w:val="22"/>
          <w:szCs w:val="22"/>
        </w:rPr>
        <w:t>Om inzicht te geven in de veelheid van standaarden voor geo-informatie heeft Geonovum het Raamwerk van geo-standaarden</w:t>
      </w:r>
      <w:r w:rsidRPr="004F7A32">
        <w:rPr>
          <w:rStyle w:val="Voetnootmarkering"/>
          <w:sz w:val="22"/>
          <w:szCs w:val="22"/>
        </w:rPr>
        <w:footnoteReference w:id="9"/>
      </w:r>
      <w:r w:rsidRPr="004F7A32">
        <w:rPr>
          <w:sz w:val="22"/>
          <w:szCs w:val="22"/>
        </w:rPr>
        <w:t> opgesteld. Het Raamwerk benoemt de standaarden die voor Nederland binnen het geo-domein van toepassing zijn voor aansluiting met andere domeinen. Het sluit aan op de Europese infrastructuur en integreert het geo-domein met de elektronische overheid. Het Raamwerk geo-standaarden is een aanvulling op het NORA dossier geo-informatie</w:t>
      </w:r>
      <w:r w:rsidRPr="004F7A32">
        <w:rPr>
          <w:rStyle w:val="Voetnootmarkering"/>
          <w:sz w:val="22"/>
          <w:szCs w:val="22"/>
        </w:rPr>
        <w:footnoteReference w:id="10"/>
      </w:r>
      <w:r w:rsidRPr="004F7A32">
        <w:rPr>
          <w:sz w:val="22"/>
          <w:szCs w:val="22"/>
        </w:rPr>
        <w:t xml:space="preserve"> (zie paragraaf </w:t>
      </w:r>
      <w:r w:rsidRPr="004F7A32">
        <w:rPr>
          <w:sz w:val="22"/>
          <w:szCs w:val="22"/>
        </w:rPr>
        <w:fldChar w:fldCharType="begin"/>
      </w:r>
      <w:r w:rsidRPr="004F7A32">
        <w:rPr>
          <w:sz w:val="22"/>
          <w:szCs w:val="22"/>
        </w:rPr>
        <w:instrText xml:space="preserve"> REF _Ref475366372 \r \h  \* MERGEFORMAT </w:instrText>
      </w:r>
      <w:r w:rsidRPr="004F7A32">
        <w:rPr>
          <w:sz w:val="22"/>
          <w:szCs w:val="22"/>
        </w:rPr>
      </w:r>
      <w:r w:rsidRPr="004F7A32">
        <w:rPr>
          <w:sz w:val="22"/>
          <w:szCs w:val="22"/>
        </w:rPr>
        <w:fldChar w:fldCharType="separate"/>
      </w:r>
      <w:r>
        <w:rPr>
          <w:sz w:val="22"/>
          <w:szCs w:val="22"/>
        </w:rPr>
        <w:t>4.2.4</w:t>
      </w:r>
      <w:r w:rsidRPr="004F7A32">
        <w:rPr>
          <w:sz w:val="22"/>
          <w:szCs w:val="22"/>
        </w:rPr>
        <w:fldChar w:fldCharType="end"/>
      </w:r>
      <w:r w:rsidRPr="004F7A32">
        <w:rPr>
          <w:sz w:val="22"/>
          <w:szCs w:val="22"/>
        </w:rPr>
        <w:t>). Het is geschreven voor iedereen die betrokken is bij het toepassen van standaarden voor geo-informatie. Zoals informatiemanagers, stuurgroepleden, beleidsmedewerkers, projectleiders, adviseurs, architecten, IT-leveranciers, en voor personen die standaarden en specificaties implementeren in hun organisatie en willen kunnen integreren met andere organisaties in Nederland en Europa.</w:t>
      </w:r>
    </w:p>
    <w:p w14:paraId="3B8862B8" w14:textId="77777777" w:rsidR="006964DA" w:rsidRPr="004F7A32" w:rsidRDefault="006964DA" w:rsidP="006964DA">
      <w:pPr>
        <w:rPr>
          <w:sz w:val="22"/>
          <w:szCs w:val="22"/>
        </w:rPr>
      </w:pPr>
    </w:p>
    <w:p w14:paraId="7A3FFAD7" w14:textId="77777777" w:rsidR="006964DA" w:rsidRPr="004F7A32" w:rsidRDefault="006964DA" w:rsidP="006964DA">
      <w:pPr>
        <w:rPr>
          <w:sz w:val="22"/>
          <w:szCs w:val="22"/>
        </w:rPr>
      </w:pPr>
      <w:bookmarkStart w:id="19" w:name="OLE_LINK2"/>
      <w:bookmarkStart w:id="20" w:name="OLE_LINK3"/>
      <w:r w:rsidRPr="004F7A32">
        <w:rPr>
          <w:sz w:val="22"/>
          <w:szCs w:val="22"/>
        </w:rPr>
        <w:t>MIM maakt geen onderdeel uit van het Raamwerk voor geo-standaarden. MIM staat los van de inhoud en staat daarmee ook los van geo-informatie. Het is een generiek referentiemodel.</w:t>
      </w:r>
    </w:p>
    <w:p w14:paraId="03870DAF" w14:textId="77777777" w:rsidR="006964DA" w:rsidRPr="004F7A32" w:rsidRDefault="006964DA" w:rsidP="006964DA">
      <w:pPr>
        <w:pStyle w:val="Kop3"/>
        <w:rPr>
          <w:rFonts w:ascii="Verdana" w:hAnsi="Verdana"/>
          <w:szCs w:val="22"/>
        </w:rPr>
      </w:pPr>
      <w:bookmarkStart w:id="21" w:name="_Ref474404996"/>
      <w:bookmarkStart w:id="22" w:name="_Ref475366372"/>
      <w:bookmarkStart w:id="23" w:name="_Toc510522463"/>
      <w:bookmarkStart w:id="24" w:name="_Toc518311895"/>
      <w:bookmarkEnd w:id="19"/>
      <w:bookmarkEnd w:id="20"/>
      <w:r w:rsidRPr="004F7A32">
        <w:rPr>
          <w:rFonts w:ascii="Verdana" w:hAnsi="Verdana"/>
          <w:szCs w:val="22"/>
        </w:rPr>
        <w:t>Nederlandse Overheid Referentie Architectuur (NORA)</w:t>
      </w:r>
      <w:bookmarkEnd w:id="21"/>
      <w:bookmarkEnd w:id="22"/>
      <w:bookmarkEnd w:id="23"/>
      <w:bookmarkEnd w:id="24"/>
    </w:p>
    <w:p w14:paraId="6F24A48D" w14:textId="77777777" w:rsidR="006964DA" w:rsidRPr="004F7A32" w:rsidRDefault="006964DA" w:rsidP="006964DA">
      <w:pPr>
        <w:rPr>
          <w:sz w:val="22"/>
          <w:szCs w:val="22"/>
        </w:rPr>
      </w:pPr>
    </w:p>
    <w:p w14:paraId="6BC994FB" w14:textId="77777777" w:rsidR="006964DA" w:rsidRPr="004F7A32" w:rsidRDefault="006964DA" w:rsidP="006964DA">
      <w:pPr>
        <w:rPr>
          <w:sz w:val="22"/>
          <w:szCs w:val="22"/>
        </w:rPr>
      </w:pPr>
      <w:r w:rsidRPr="004F7A32">
        <w:rPr>
          <w:sz w:val="22"/>
          <w:szCs w:val="22"/>
        </w:rPr>
        <w:t>De Nederlandse Overheid Referentie Architectuur NORA</w:t>
      </w:r>
      <w:r w:rsidRPr="004F7A32">
        <w:rPr>
          <w:rStyle w:val="Voetnootmarkering"/>
          <w:sz w:val="22"/>
          <w:szCs w:val="22"/>
        </w:rPr>
        <w:footnoteReference w:id="11"/>
      </w:r>
      <w:r w:rsidRPr="004F7A32">
        <w:rPr>
          <w:sz w:val="22"/>
          <w:szCs w:val="22"/>
        </w:rPr>
        <w:t xml:space="preserve"> geeft algemene architectuurprincipes voor domeinarchitecturen, zoals voor het Rijk (MARIJ), provincies (PETRA) en gemeenten (GEMMA). Geo-informatie wordt gezien als een aspect van architectuur. Dit betekent dat geo-informatie niet domeingericht is, maar voor iedereen geldig is of kan zijn. Om deze reden is geo-informatie integraal opgenomen in NORA</w:t>
      </w:r>
      <w:r w:rsidRPr="004F7A32">
        <w:rPr>
          <w:rStyle w:val="Voetnootmarkering"/>
          <w:sz w:val="22"/>
          <w:szCs w:val="22"/>
        </w:rPr>
        <w:footnoteReference w:id="12"/>
      </w:r>
      <w:r w:rsidRPr="004F7A32">
        <w:rPr>
          <w:sz w:val="22"/>
          <w:szCs w:val="22"/>
        </w:rPr>
        <w:t xml:space="preserve"> vanaf versie 3.0. Het Forum Standaardisatie heeft NORA 3.0 in oktober 2010 goedgekeurd. Er is daarmee een aanvullend NORA dossier </w:t>
      </w:r>
      <w:r w:rsidRPr="004F7A32">
        <w:rPr>
          <w:sz w:val="22"/>
          <w:szCs w:val="22"/>
        </w:rPr>
        <w:lastRenderedPageBreak/>
        <w:t>Geo-informatie beschikbaar gekomen</w:t>
      </w:r>
      <w:r w:rsidRPr="004F7A32">
        <w:rPr>
          <w:rStyle w:val="Voetnootmarkering"/>
          <w:sz w:val="22"/>
          <w:szCs w:val="22"/>
        </w:rPr>
        <w:footnoteReference w:id="13"/>
      </w:r>
      <w:r w:rsidRPr="004F7A32">
        <w:rPr>
          <w:sz w:val="22"/>
          <w:szCs w:val="22"/>
        </w:rPr>
        <w:t>. Het kennisplatform NORA online is uitgebreid, conform NORA 3.0, met het thema GEO</w:t>
      </w:r>
      <w:r w:rsidRPr="004F7A32">
        <w:rPr>
          <w:rStyle w:val="Voetnootmarkering"/>
          <w:sz w:val="22"/>
          <w:szCs w:val="22"/>
        </w:rPr>
        <w:footnoteReference w:id="14"/>
      </w:r>
      <w:r w:rsidRPr="004F7A32">
        <w:rPr>
          <w:sz w:val="22"/>
          <w:szCs w:val="22"/>
        </w:rPr>
        <w:t>.</w:t>
      </w:r>
    </w:p>
    <w:p w14:paraId="2F65406B" w14:textId="77777777" w:rsidR="006964DA" w:rsidRPr="004F7A32" w:rsidRDefault="006964DA" w:rsidP="006964DA">
      <w:pPr>
        <w:rPr>
          <w:sz w:val="22"/>
          <w:szCs w:val="22"/>
        </w:rPr>
      </w:pPr>
    </w:p>
    <w:p w14:paraId="5A651D9D" w14:textId="77777777" w:rsidR="006964DA" w:rsidRPr="004F7A32" w:rsidRDefault="006964DA" w:rsidP="006964DA">
      <w:pPr>
        <w:rPr>
          <w:sz w:val="22"/>
          <w:szCs w:val="22"/>
        </w:rPr>
      </w:pPr>
      <w:r w:rsidRPr="004F7A32">
        <w:rPr>
          <w:sz w:val="22"/>
          <w:szCs w:val="22"/>
        </w:rPr>
        <w:t>De NORA-architecten hebben interesse in MIM en het idee is dat binnen de NORA-wiki een pagina over MIM wordt opgenomen die door Geonovum wordt beheerd. Definitieve werkafspraken moeten hierover worden gemaakt.</w:t>
      </w:r>
    </w:p>
    <w:p w14:paraId="742DFA95" w14:textId="77777777" w:rsidR="006964DA" w:rsidRPr="004F7A32" w:rsidRDefault="006964DA" w:rsidP="006964DA">
      <w:pPr>
        <w:pStyle w:val="Kop2"/>
        <w:rPr>
          <w:rFonts w:ascii="Verdana" w:hAnsi="Verdana"/>
          <w:sz w:val="22"/>
          <w:szCs w:val="22"/>
        </w:rPr>
      </w:pPr>
      <w:bookmarkStart w:id="25" w:name="_Ref426015396"/>
      <w:bookmarkStart w:id="26" w:name="_Toc510522464"/>
      <w:bookmarkStart w:id="27" w:name="_Toc518311896"/>
      <w:r w:rsidRPr="004F7A32">
        <w:rPr>
          <w:rFonts w:ascii="Verdana" w:hAnsi="Verdana"/>
          <w:sz w:val="22"/>
          <w:szCs w:val="22"/>
        </w:rPr>
        <w:t>Rechtenbeleid</w:t>
      </w:r>
      <w:bookmarkEnd w:id="25"/>
      <w:bookmarkEnd w:id="26"/>
      <w:bookmarkEnd w:id="27"/>
    </w:p>
    <w:p w14:paraId="22F30B36" w14:textId="77777777" w:rsidR="006964DA" w:rsidRPr="004F7A32" w:rsidRDefault="006964DA" w:rsidP="006964DA">
      <w:pPr>
        <w:rPr>
          <w:sz w:val="22"/>
          <w:szCs w:val="22"/>
        </w:rPr>
      </w:pPr>
      <w:bookmarkStart w:id="28" w:name="_Toc510522465"/>
      <w:r w:rsidRPr="004F7A32">
        <w:rPr>
          <w:sz w:val="22"/>
          <w:szCs w:val="22"/>
        </w:rPr>
        <w:t xml:space="preserve">Het organiseren van auteursrecht en de vrijwaringen op het gebied van intellectueel eigendom zijn zaken die onder rechtenbeleid vallen. Het doel hiervan is de beschikbaarheid van de standaarden inzichtelijk te maken. Geonovum geeft aan hoe, voor wie op welke wijze de standaarden beschikbaar zijn door middel van Creative Commons. </w:t>
      </w:r>
    </w:p>
    <w:p w14:paraId="6101CB71" w14:textId="77777777" w:rsidR="006964DA" w:rsidRPr="004F7A32" w:rsidRDefault="006964DA" w:rsidP="006964DA">
      <w:pPr>
        <w:rPr>
          <w:sz w:val="22"/>
          <w:szCs w:val="22"/>
        </w:rPr>
      </w:pPr>
    </w:p>
    <w:p w14:paraId="1CE68A11" w14:textId="77777777" w:rsidR="006964DA" w:rsidRPr="004F7A32" w:rsidRDefault="006964DA" w:rsidP="006964DA">
      <w:pPr>
        <w:rPr>
          <w:sz w:val="22"/>
          <w:szCs w:val="22"/>
        </w:rPr>
      </w:pPr>
      <w:r w:rsidRPr="004F7A32">
        <w:rPr>
          <w:rFonts w:cs="Calibri"/>
          <w:sz w:val="22"/>
          <w:szCs w:val="22"/>
        </w:rPr>
        <w:t>Elk nieuw document dat vanaf 1 juni 2010 door Geonovum wordt gepubliceerd is</w:t>
      </w:r>
      <w:r w:rsidRPr="004F7A32">
        <w:rPr>
          <w:sz w:val="22"/>
          <w:szCs w:val="22"/>
        </w:rPr>
        <w:t xml:space="preserve"> voorzien van de volgende licentie: </w:t>
      </w:r>
      <w:hyperlink r:id="rId7" w:history="1">
        <w:r w:rsidRPr="004F7A32">
          <w:rPr>
            <w:rStyle w:val="Hyperlink"/>
            <w:sz w:val="22"/>
            <w:szCs w:val="22"/>
          </w:rPr>
          <w:t>http://creativecommons.org/licenses/by-nd/3.0/nl/</w:t>
        </w:r>
      </w:hyperlink>
      <w:r w:rsidRPr="004F7A32">
        <w:rPr>
          <w:sz w:val="22"/>
          <w:szCs w:val="22"/>
        </w:rPr>
        <w:t>.</w:t>
      </w:r>
    </w:p>
    <w:p w14:paraId="534B63C0" w14:textId="77777777" w:rsidR="006964DA" w:rsidRPr="004F7A32" w:rsidRDefault="006964DA" w:rsidP="006964DA">
      <w:pPr>
        <w:rPr>
          <w:sz w:val="22"/>
          <w:szCs w:val="22"/>
        </w:rPr>
      </w:pPr>
    </w:p>
    <w:p w14:paraId="0E3E91B9" w14:textId="77777777" w:rsidR="006964DA" w:rsidRPr="004F7A32" w:rsidRDefault="006964DA" w:rsidP="006964DA">
      <w:pPr>
        <w:rPr>
          <w:sz w:val="22"/>
          <w:szCs w:val="22"/>
        </w:rPr>
      </w:pPr>
      <w:r w:rsidRPr="004F7A32">
        <w:rPr>
          <w:sz w:val="22"/>
          <w:szCs w:val="22"/>
        </w:rPr>
        <w:t>Partijen die bijdragen aan de ontwikkeling van een standaard die door Geonovum wordt beheerd dienen te accepteren dat hun intellectueel eigendomsrecht altijd onder bovenstaande licentie door Geonovum beschikbaar wordt gesteld.</w:t>
      </w:r>
    </w:p>
    <w:p w14:paraId="116918F0" w14:textId="77777777" w:rsidR="006964DA" w:rsidRPr="004F7A32" w:rsidRDefault="006964DA" w:rsidP="006964DA">
      <w:pPr>
        <w:pStyle w:val="Kop2"/>
        <w:rPr>
          <w:rFonts w:ascii="Verdana" w:hAnsi="Verdana"/>
          <w:sz w:val="22"/>
          <w:szCs w:val="22"/>
        </w:rPr>
      </w:pPr>
      <w:bookmarkStart w:id="29" w:name="_Toc518311897"/>
      <w:r w:rsidRPr="004F7A32">
        <w:rPr>
          <w:rFonts w:ascii="Verdana" w:hAnsi="Verdana"/>
          <w:sz w:val="22"/>
          <w:szCs w:val="22"/>
        </w:rPr>
        <w:t>Kwaliteitsbeleid en benchmarking</w:t>
      </w:r>
      <w:bookmarkEnd w:id="28"/>
      <w:bookmarkEnd w:id="29"/>
    </w:p>
    <w:p w14:paraId="07EE618B" w14:textId="77777777" w:rsidR="006964DA" w:rsidRPr="004F7A32" w:rsidRDefault="006964DA" w:rsidP="006964DA">
      <w:pPr>
        <w:pBdr>
          <w:top w:val="single" w:sz="4" w:space="1" w:color="auto"/>
          <w:left w:val="single" w:sz="4" w:space="4" w:color="auto"/>
          <w:bottom w:val="single" w:sz="4" w:space="1" w:color="auto"/>
          <w:right w:val="single" w:sz="4" w:space="4" w:color="auto"/>
        </w:pBdr>
        <w:shd w:val="clear" w:color="auto" w:fill="FFCCFF"/>
        <w:jc w:val="left"/>
        <w:rPr>
          <w:rFonts w:cs="Calibri"/>
          <w:sz w:val="22"/>
          <w:szCs w:val="22"/>
        </w:rPr>
      </w:pPr>
      <w:r w:rsidRPr="004F7A32">
        <w:rPr>
          <w:i/>
          <w:iCs/>
          <w:sz w:val="22"/>
          <w:szCs w:val="22"/>
        </w:rPr>
        <w:t>BOMOS Kwaliteitsbeleid &amp; benchmarken</w:t>
      </w:r>
      <w:r w:rsidRPr="004F7A32">
        <w:rPr>
          <w:rFonts w:cs="Calibri"/>
          <w:sz w:val="22"/>
          <w:szCs w:val="22"/>
        </w:rPr>
        <w:t>: Belangrijk is om aandacht te hebben voor de kwaliteit van de standaarden door middel van een kwaliteitsbeleid. Dit kan resulteren in bijvoorbeeld het introduceren van een kwaliteitscheck voordat een standaard wordt gepubliceerd. Benchmarken is de activiteit om de eigen activiteiten te spiegelen aan vergelijkbare organisaties om mogelijke verbeteringen te identificeren.</w:t>
      </w:r>
    </w:p>
    <w:p w14:paraId="5F20C75E" w14:textId="77777777" w:rsidR="006964DA" w:rsidRPr="004F7A32" w:rsidRDefault="006964DA" w:rsidP="006964DA">
      <w:pPr>
        <w:rPr>
          <w:sz w:val="22"/>
          <w:szCs w:val="22"/>
        </w:rPr>
      </w:pPr>
    </w:p>
    <w:p w14:paraId="078D51FF" w14:textId="77777777" w:rsidR="006964DA" w:rsidRPr="004F7A32" w:rsidRDefault="006964DA" w:rsidP="006964DA">
      <w:pPr>
        <w:spacing w:line="240" w:lineRule="auto"/>
        <w:jc w:val="left"/>
        <w:rPr>
          <w:sz w:val="22"/>
          <w:szCs w:val="22"/>
        </w:rPr>
      </w:pPr>
      <w:r w:rsidRPr="004F7A32">
        <w:rPr>
          <w:noProof/>
          <w:sz w:val="22"/>
          <w:szCs w:val="22"/>
        </w:rPr>
        <w:lastRenderedPageBreak/>
        <w:drawing>
          <wp:inline distT="0" distB="0" distL="0" distR="0" wp14:anchorId="72513291" wp14:editId="300DE57B">
            <wp:extent cx="4933758" cy="3869055"/>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0438" cy="3882136"/>
                    </a:xfrm>
                    <a:prstGeom prst="rect">
                      <a:avLst/>
                    </a:prstGeom>
                    <a:noFill/>
                  </pic:spPr>
                </pic:pic>
              </a:graphicData>
            </a:graphic>
          </wp:inline>
        </w:drawing>
      </w:r>
    </w:p>
    <w:p w14:paraId="538F45E1" w14:textId="77777777" w:rsidR="006964DA" w:rsidRPr="004F7A32" w:rsidRDefault="006964DA" w:rsidP="006964DA">
      <w:pPr>
        <w:pStyle w:val="Kop2"/>
        <w:rPr>
          <w:rFonts w:ascii="Verdana" w:hAnsi="Verdana"/>
          <w:sz w:val="22"/>
          <w:szCs w:val="22"/>
        </w:rPr>
      </w:pPr>
      <w:bookmarkStart w:id="30" w:name="_Toc510522466"/>
      <w:bookmarkStart w:id="31" w:name="_Toc518311898"/>
      <w:r w:rsidRPr="004F7A32">
        <w:rPr>
          <w:rFonts w:ascii="Verdana" w:hAnsi="Verdana"/>
          <w:sz w:val="22"/>
          <w:szCs w:val="22"/>
        </w:rPr>
        <w:t>Adoptie en erkenning</w:t>
      </w:r>
      <w:bookmarkEnd w:id="30"/>
      <w:bookmarkEnd w:id="31"/>
    </w:p>
    <w:p w14:paraId="3A78A2F4" w14:textId="77777777" w:rsidR="006964DA" w:rsidRPr="004F7A32" w:rsidRDefault="006964DA" w:rsidP="006964DA">
      <w:pPr>
        <w:pStyle w:val="Default"/>
        <w:pBdr>
          <w:top w:val="single" w:sz="4" w:space="1" w:color="auto"/>
          <w:left w:val="single" w:sz="4" w:space="4" w:color="auto"/>
          <w:bottom w:val="single" w:sz="4" w:space="1" w:color="auto"/>
          <w:right w:val="single" w:sz="4" w:space="4" w:color="auto"/>
        </w:pBdr>
        <w:shd w:val="clear" w:color="auto" w:fill="FFCCFF"/>
        <w:jc w:val="both"/>
        <w:rPr>
          <w:rFonts w:ascii="Verdana" w:hAnsi="Verdana"/>
          <w:color w:val="auto"/>
          <w:sz w:val="22"/>
          <w:szCs w:val="22"/>
        </w:rPr>
      </w:pPr>
      <w:r w:rsidRPr="004F7A32">
        <w:rPr>
          <w:rFonts w:ascii="Verdana" w:hAnsi="Verdana" w:cs="Times New Roman"/>
          <w:i/>
          <w:iCs/>
          <w:color w:val="auto"/>
          <w:sz w:val="22"/>
          <w:szCs w:val="22"/>
        </w:rPr>
        <w:t>BOMOS Adoptie &amp; erkenning:</w:t>
      </w:r>
      <w:r w:rsidRPr="004F7A32">
        <w:rPr>
          <w:rFonts w:ascii="Verdana" w:hAnsi="Verdana"/>
          <w:color w:val="auto"/>
          <w:sz w:val="22"/>
          <w:szCs w:val="22"/>
        </w:rPr>
        <w:t xml:space="preserve"> Het opstellen van een adoptiestrategie om ervoor te zorgen dat de markt de standaarden adopteert. Onderdeel van een adoptiestrategie kan zijn het nastreven van erkenning door externe ’statusverleners’ bijvoorbeeld de ‘pas toe of leg uit’ lijst6, of om de standaard uit te brengen als NEN-document (NTA, NPR of norm).</w:t>
      </w:r>
    </w:p>
    <w:p w14:paraId="411038CB" w14:textId="77777777" w:rsidR="006964DA" w:rsidRPr="004F7A32" w:rsidRDefault="006964DA" w:rsidP="006964DA">
      <w:pPr>
        <w:rPr>
          <w:sz w:val="22"/>
          <w:szCs w:val="22"/>
        </w:rPr>
      </w:pPr>
    </w:p>
    <w:p w14:paraId="265F8888" w14:textId="77777777" w:rsidR="006964DA" w:rsidRPr="004F7A32" w:rsidRDefault="006964DA" w:rsidP="006964DA">
      <w:pPr>
        <w:rPr>
          <w:sz w:val="22"/>
          <w:szCs w:val="22"/>
        </w:rPr>
      </w:pPr>
      <w:r w:rsidRPr="004F7A32">
        <w:rPr>
          <w:sz w:val="22"/>
          <w:szCs w:val="22"/>
        </w:rPr>
        <w:t>Een van de activiteiten in het beheer is het uitdragen van deze standaard, zodat meer en meer volgens dezelfde filosofie informatiemodellen worden ontwikkeld. Er wordt op dit moment aan de volgende wegen gedacht die kunnen worden bewandeld om tot een bredere adoptie en erkenning te komen:</w:t>
      </w:r>
    </w:p>
    <w:p w14:paraId="3A059981" w14:textId="77777777" w:rsidR="006964DA" w:rsidRPr="004F7A32" w:rsidRDefault="006964DA" w:rsidP="006964DA">
      <w:pPr>
        <w:pStyle w:val="Lijstalinea"/>
        <w:numPr>
          <w:ilvl w:val="0"/>
          <w:numId w:val="3"/>
        </w:numPr>
        <w:rPr>
          <w:sz w:val="22"/>
          <w:szCs w:val="22"/>
        </w:rPr>
      </w:pPr>
      <w:r w:rsidRPr="004F7A32">
        <w:rPr>
          <w:sz w:val="22"/>
          <w:szCs w:val="22"/>
        </w:rPr>
        <w:t>Opname op de Pas Toe Of Leg Uit Lijst van het Forum Standaardisatie</w:t>
      </w:r>
    </w:p>
    <w:p w14:paraId="03DECA60" w14:textId="77777777" w:rsidR="006964DA" w:rsidRPr="004F7A32" w:rsidRDefault="006964DA" w:rsidP="006964DA">
      <w:pPr>
        <w:pStyle w:val="Lijstalinea"/>
        <w:numPr>
          <w:ilvl w:val="0"/>
          <w:numId w:val="3"/>
        </w:numPr>
        <w:rPr>
          <w:sz w:val="22"/>
          <w:szCs w:val="22"/>
        </w:rPr>
      </w:pPr>
      <w:r w:rsidRPr="004F7A32">
        <w:rPr>
          <w:sz w:val="22"/>
          <w:szCs w:val="22"/>
        </w:rPr>
        <w:t>Onderbrengen in de NORA-architectuur</w:t>
      </w:r>
    </w:p>
    <w:p w14:paraId="1506768E" w14:textId="77777777" w:rsidR="006964DA" w:rsidRPr="004F7A32" w:rsidRDefault="006964DA" w:rsidP="006964DA">
      <w:pPr>
        <w:pStyle w:val="Lijstalinea"/>
        <w:numPr>
          <w:ilvl w:val="0"/>
          <w:numId w:val="3"/>
        </w:numPr>
        <w:rPr>
          <w:sz w:val="22"/>
          <w:szCs w:val="22"/>
        </w:rPr>
      </w:pPr>
      <w:r w:rsidRPr="004F7A32">
        <w:rPr>
          <w:sz w:val="22"/>
          <w:szCs w:val="22"/>
        </w:rPr>
        <w:t>Laten vaststellen door het platform Gemeenschappelijk Afspraken Berichtenverkeer (GAB) die het vervolgens als wijzigingsvoorstel indient bij de betrokken organisaties</w:t>
      </w:r>
    </w:p>
    <w:p w14:paraId="33FEE979" w14:textId="77777777" w:rsidR="006964DA" w:rsidRPr="004F7A32" w:rsidRDefault="006964DA" w:rsidP="006964DA">
      <w:pPr>
        <w:rPr>
          <w:sz w:val="22"/>
          <w:szCs w:val="22"/>
        </w:rPr>
      </w:pPr>
      <w:r w:rsidRPr="004F7A32">
        <w:rPr>
          <w:sz w:val="22"/>
          <w:szCs w:val="22"/>
        </w:rPr>
        <w:t xml:space="preserve"> </w:t>
      </w:r>
    </w:p>
    <w:p w14:paraId="554F9029" w14:textId="77777777" w:rsidR="006964DA" w:rsidRPr="004F7A32" w:rsidRDefault="006964DA" w:rsidP="006964DA">
      <w:pPr>
        <w:rPr>
          <w:sz w:val="22"/>
          <w:szCs w:val="22"/>
        </w:rPr>
      </w:pPr>
    </w:p>
    <w:p w14:paraId="685A607D" w14:textId="77777777" w:rsidR="006964DA" w:rsidRPr="004F7A32" w:rsidRDefault="006964DA" w:rsidP="006964DA">
      <w:pPr>
        <w:rPr>
          <w:sz w:val="22"/>
          <w:szCs w:val="22"/>
        </w:rPr>
      </w:pPr>
    </w:p>
    <w:p w14:paraId="6E349551" w14:textId="77777777" w:rsidR="006964DA" w:rsidRPr="004F7A32" w:rsidRDefault="006964DA" w:rsidP="006964DA">
      <w:pPr>
        <w:spacing w:line="240" w:lineRule="auto"/>
        <w:jc w:val="left"/>
        <w:rPr>
          <w:rFonts w:cs="Arial"/>
          <w:b/>
          <w:bCs/>
          <w:kern w:val="32"/>
          <w:sz w:val="22"/>
          <w:szCs w:val="22"/>
        </w:rPr>
      </w:pPr>
      <w:r w:rsidRPr="004F7A32">
        <w:rPr>
          <w:sz w:val="22"/>
          <w:szCs w:val="22"/>
        </w:rPr>
        <w:br w:type="page"/>
      </w:r>
    </w:p>
    <w:p w14:paraId="6694D298" w14:textId="77777777" w:rsidR="00257493" w:rsidRDefault="006964DA"/>
    <w:sectPr w:rsidR="002574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FAD4B" w14:textId="77777777" w:rsidR="006964DA" w:rsidRDefault="006964DA" w:rsidP="006964DA">
      <w:pPr>
        <w:spacing w:line="240" w:lineRule="auto"/>
      </w:pPr>
      <w:r>
        <w:separator/>
      </w:r>
    </w:p>
  </w:endnote>
  <w:endnote w:type="continuationSeparator" w:id="0">
    <w:p w14:paraId="4589BA06" w14:textId="77777777" w:rsidR="006964DA" w:rsidRDefault="006964DA" w:rsidP="00696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52925" w14:textId="77777777" w:rsidR="006964DA" w:rsidRDefault="006964DA" w:rsidP="006964DA">
      <w:pPr>
        <w:spacing w:line="240" w:lineRule="auto"/>
      </w:pPr>
      <w:r>
        <w:separator/>
      </w:r>
    </w:p>
  </w:footnote>
  <w:footnote w:type="continuationSeparator" w:id="0">
    <w:p w14:paraId="46D3D85F" w14:textId="77777777" w:rsidR="006964DA" w:rsidRDefault="006964DA" w:rsidP="006964DA">
      <w:pPr>
        <w:spacing w:line="240" w:lineRule="auto"/>
      </w:pPr>
      <w:r>
        <w:continuationSeparator/>
      </w:r>
    </w:p>
  </w:footnote>
  <w:footnote w:id="1">
    <w:p w14:paraId="20295C74"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1" w:history="1">
        <w:r w:rsidRPr="001634DF">
          <w:rPr>
            <w:rStyle w:val="Hyperlink"/>
            <w:sz w:val="14"/>
            <w:szCs w:val="14"/>
          </w:rPr>
          <w:t>http://www.geonovum.nl/onderwerpen/standaardisatie-nationaal-en-internationaal/algemeen-standaardisatie</w:t>
        </w:r>
      </w:hyperlink>
      <w:r>
        <w:rPr>
          <w:sz w:val="14"/>
          <w:szCs w:val="14"/>
        </w:rPr>
        <w:t xml:space="preserve"> </w:t>
      </w:r>
    </w:p>
  </w:footnote>
  <w:footnote w:id="2">
    <w:p w14:paraId="6DCC8D87"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2" w:history="1">
        <w:r w:rsidRPr="001634DF">
          <w:rPr>
            <w:rStyle w:val="Hyperlink"/>
            <w:sz w:val="14"/>
            <w:szCs w:val="14"/>
          </w:rPr>
          <w:t>http://www.geonovum.nl/onderwerpen/standaardisatie-nationaal-en-internationaal/nen-normcommissie</w:t>
        </w:r>
      </w:hyperlink>
      <w:r>
        <w:rPr>
          <w:sz w:val="14"/>
          <w:szCs w:val="14"/>
        </w:rPr>
        <w:t xml:space="preserve"> </w:t>
      </w:r>
    </w:p>
  </w:footnote>
  <w:footnote w:id="3">
    <w:p w14:paraId="5B5E6782"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3" w:history="1">
        <w:r w:rsidRPr="001634DF">
          <w:rPr>
            <w:rStyle w:val="Hyperlink"/>
            <w:sz w:val="14"/>
            <w:szCs w:val="14"/>
          </w:rPr>
          <w:t>www.isotc211.org</w:t>
        </w:r>
      </w:hyperlink>
      <w:r>
        <w:rPr>
          <w:sz w:val="14"/>
          <w:szCs w:val="14"/>
        </w:rPr>
        <w:t xml:space="preserve"> </w:t>
      </w:r>
      <w:r>
        <w:t xml:space="preserve"> </w:t>
      </w:r>
    </w:p>
  </w:footnote>
  <w:footnote w:id="4">
    <w:p w14:paraId="4FB5BC9E"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4" w:history="1">
        <w:r w:rsidRPr="001634DF">
          <w:rPr>
            <w:rStyle w:val="Hyperlink"/>
            <w:iCs/>
            <w:sz w:val="14"/>
            <w:szCs w:val="14"/>
          </w:rPr>
          <w:t>www.opengeospatial.org</w:t>
        </w:r>
      </w:hyperlink>
      <w:r>
        <w:rPr>
          <w:iCs/>
          <w:sz w:val="14"/>
          <w:szCs w:val="14"/>
        </w:rPr>
        <w:t xml:space="preserve"> </w:t>
      </w:r>
    </w:p>
  </w:footnote>
  <w:footnote w:id="5">
    <w:p w14:paraId="0A11E3CD" w14:textId="77777777" w:rsidR="006964DA" w:rsidRPr="00B70E7E" w:rsidRDefault="006964DA" w:rsidP="006964DA">
      <w:pPr>
        <w:pStyle w:val="Voetnoottekst"/>
      </w:pPr>
      <w:r w:rsidRPr="00B70E7E">
        <w:rPr>
          <w:rStyle w:val="Voetnootmarkering"/>
        </w:rPr>
        <w:footnoteRef/>
      </w:r>
      <w:r w:rsidRPr="00B70E7E">
        <w:t xml:space="preserve"> </w:t>
      </w:r>
      <w:r w:rsidRPr="00BF4676">
        <w:rPr>
          <w:sz w:val="14"/>
          <w:szCs w:val="14"/>
        </w:rPr>
        <w:t>Zie</w:t>
      </w:r>
      <w:r>
        <w:rPr>
          <w:sz w:val="14"/>
          <w:szCs w:val="14"/>
        </w:rPr>
        <w:t>:</w:t>
      </w:r>
      <w:r w:rsidRPr="00BF4676">
        <w:rPr>
          <w:sz w:val="14"/>
          <w:szCs w:val="14"/>
        </w:rPr>
        <w:t xml:space="preserve"> </w:t>
      </w:r>
      <w:hyperlink r:id="rId5" w:history="1">
        <w:r w:rsidRPr="001634DF">
          <w:rPr>
            <w:rStyle w:val="Hyperlink"/>
            <w:iCs/>
            <w:sz w:val="14"/>
            <w:szCs w:val="14"/>
          </w:rPr>
          <w:t>www.w3.org</w:t>
        </w:r>
      </w:hyperlink>
      <w:r>
        <w:rPr>
          <w:iCs/>
          <w:sz w:val="14"/>
          <w:szCs w:val="14"/>
        </w:rPr>
        <w:t xml:space="preserve"> </w:t>
      </w:r>
    </w:p>
  </w:footnote>
  <w:footnote w:id="6">
    <w:p w14:paraId="6B5CE040"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6" w:history="1">
        <w:r w:rsidRPr="001634DF">
          <w:rPr>
            <w:rStyle w:val="Hyperlink"/>
            <w:sz w:val="14"/>
            <w:szCs w:val="14"/>
          </w:rPr>
          <w:t>http://inspire.jrc.ec.europa.eu/</w:t>
        </w:r>
      </w:hyperlink>
      <w:r>
        <w:rPr>
          <w:sz w:val="14"/>
          <w:szCs w:val="14"/>
        </w:rPr>
        <w:t xml:space="preserve"> </w:t>
      </w:r>
    </w:p>
  </w:footnote>
  <w:footnote w:id="7">
    <w:p w14:paraId="6513DA9A" w14:textId="77777777" w:rsidR="006964DA" w:rsidRDefault="006964DA" w:rsidP="006964DA">
      <w:pPr>
        <w:pStyle w:val="Voetnoottekst"/>
      </w:pPr>
      <w:r>
        <w:rPr>
          <w:rStyle w:val="Voetnootmarkering"/>
        </w:rPr>
        <w:footnoteRef/>
      </w:r>
      <w:r>
        <w:t xml:space="preserve"> </w:t>
      </w:r>
      <w:r w:rsidRPr="00BF4676">
        <w:rPr>
          <w:sz w:val="14"/>
          <w:szCs w:val="14"/>
        </w:rPr>
        <w:t>Zie</w:t>
      </w:r>
      <w:r>
        <w:rPr>
          <w:sz w:val="14"/>
          <w:szCs w:val="14"/>
        </w:rPr>
        <w:t>:</w:t>
      </w:r>
      <w:r w:rsidRPr="00BF4676">
        <w:rPr>
          <w:sz w:val="14"/>
          <w:szCs w:val="14"/>
        </w:rPr>
        <w:t xml:space="preserve"> </w:t>
      </w:r>
      <w:hyperlink r:id="rId7" w:history="1">
        <w:r w:rsidRPr="001634DF">
          <w:rPr>
            <w:rStyle w:val="Hyperlink"/>
            <w:sz w:val="14"/>
            <w:szCs w:val="14"/>
          </w:rPr>
          <w:t>www.omg.org</w:t>
        </w:r>
      </w:hyperlink>
      <w:r>
        <w:rPr>
          <w:sz w:val="14"/>
          <w:szCs w:val="14"/>
        </w:rPr>
        <w:t xml:space="preserve"> </w:t>
      </w:r>
    </w:p>
  </w:footnote>
  <w:footnote w:id="8">
    <w:p w14:paraId="45B640C1" w14:textId="77777777" w:rsidR="006964DA" w:rsidRDefault="006964DA" w:rsidP="006964DA">
      <w:pPr>
        <w:pStyle w:val="Voetnoottekst"/>
      </w:pPr>
      <w:r>
        <w:rPr>
          <w:rStyle w:val="Voetnootmarkering"/>
        </w:rPr>
        <w:footnoteRef/>
      </w:r>
      <w:r>
        <w:t xml:space="preserve"> </w:t>
      </w:r>
      <w:r w:rsidRPr="00BF4676">
        <w:rPr>
          <w:iCs/>
          <w:sz w:val="14"/>
          <w:szCs w:val="14"/>
        </w:rPr>
        <w:t>Zie</w:t>
      </w:r>
      <w:r>
        <w:rPr>
          <w:iCs/>
          <w:sz w:val="14"/>
          <w:szCs w:val="14"/>
        </w:rPr>
        <w:t>:</w:t>
      </w:r>
      <w:r w:rsidRPr="00705D63">
        <w:t xml:space="preserve"> </w:t>
      </w:r>
      <w:hyperlink r:id="rId8" w:history="1">
        <w:r w:rsidRPr="001634DF">
          <w:rPr>
            <w:rStyle w:val="Hyperlink"/>
            <w:iCs/>
            <w:sz w:val="14"/>
            <w:szCs w:val="14"/>
          </w:rPr>
          <w:t>http://standards.cen.eu/</w:t>
        </w:r>
      </w:hyperlink>
      <w:r>
        <w:rPr>
          <w:iCs/>
          <w:sz w:val="14"/>
          <w:szCs w:val="14"/>
        </w:rPr>
        <w:t xml:space="preserve"> </w:t>
      </w:r>
      <w:r w:rsidRPr="00705D63" w:rsidDel="00705D63">
        <w:rPr>
          <w:iCs/>
          <w:sz w:val="14"/>
          <w:szCs w:val="14"/>
        </w:rPr>
        <w:t xml:space="preserve"> </w:t>
      </w:r>
    </w:p>
  </w:footnote>
  <w:footnote w:id="9">
    <w:p w14:paraId="7BDEFAC9" w14:textId="77777777" w:rsidR="006964DA" w:rsidRDefault="006964DA" w:rsidP="006964DA">
      <w:pPr>
        <w:pStyle w:val="Voetnoottekst"/>
      </w:pPr>
      <w:r>
        <w:rPr>
          <w:rStyle w:val="Voetnootmarkering"/>
        </w:rPr>
        <w:footnoteRef/>
      </w:r>
      <w:r>
        <w:t xml:space="preserve"> </w:t>
      </w:r>
      <w:r w:rsidRPr="00B15D25">
        <w:rPr>
          <w:sz w:val="14"/>
          <w:szCs w:val="14"/>
        </w:rPr>
        <w:t>Zie</w:t>
      </w:r>
      <w:r>
        <w:rPr>
          <w:sz w:val="14"/>
          <w:szCs w:val="14"/>
        </w:rPr>
        <w:t>:</w:t>
      </w:r>
      <w:r w:rsidRPr="00B15D25">
        <w:rPr>
          <w:sz w:val="14"/>
          <w:szCs w:val="14"/>
        </w:rPr>
        <w:t xml:space="preserve"> </w:t>
      </w:r>
      <w:hyperlink r:id="rId9" w:history="1">
        <w:r w:rsidRPr="001634DF">
          <w:rPr>
            <w:rStyle w:val="Hyperlink"/>
            <w:sz w:val="14"/>
            <w:szCs w:val="14"/>
          </w:rPr>
          <w:t>http://www.geonovum.nl/onderwerpen/geo-standaarden/raamwerk-van-geo-standaarden</w:t>
        </w:r>
      </w:hyperlink>
      <w:r>
        <w:rPr>
          <w:sz w:val="14"/>
          <w:szCs w:val="14"/>
        </w:rPr>
        <w:t xml:space="preserve"> </w:t>
      </w:r>
    </w:p>
  </w:footnote>
  <w:footnote w:id="10">
    <w:p w14:paraId="3447E695" w14:textId="77777777" w:rsidR="006964DA" w:rsidRDefault="006964DA" w:rsidP="006964DA">
      <w:pPr>
        <w:pStyle w:val="Voetnoottekst"/>
      </w:pPr>
      <w:r>
        <w:rPr>
          <w:rStyle w:val="Voetnootmarkering"/>
        </w:rPr>
        <w:footnoteRef/>
      </w:r>
      <w:r>
        <w:t xml:space="preserve"> </w:t>
      </w:r>
      <w:r w:rsidRPr="00897080">
        <w:rPr>
          <w:sz w:val="14"/>
          <w:szCs w:val="14"/>
        </w:rPr>
        <w:t xml:space="preserve">Zie: </w:t>
      </w:r>
      <w:hyperlink r:id="rId10" w:history="1">
        <w:r w:rsidRPr="00897080">
          <w:rPr>
            <w:rStyle w:val="Hyperlink"/>
            <w:sz w:val="14"/>
            <w:szCs w:val="14"/>
          </w:rPr>
          <w:t>http://www.geonovum.nl/onderwerp-artikel/geo-nora</w:t>
        </w:r>
      </w:hyperlink>
      <w:r>
        <w:rPr>
          <w:sz w:val="14"/>
          <w:szCs w:val="14"/>
        </w:rPr>
        <w:t xml:space="preserve"> </w:t>
      </w:r>
    </w:p>
  </w:footnote>
  <w:footnote w:id="11">
    <w:p w14:paraId="4565BBD1" w14:textId="77777777" w:rsidR="006964DA" w:rsidRDefault="006964DA" w:rsidP="006964DA">
      <w:pPr>
        <w:pStyle w:val="Voetnoottekst"/>
      </w:pPr>
      <w:r>
        <w:rPr>
          <w:rStyle w:val="Voetnootmarkering"/>
        </w:rPr>
        <w:footnoteRef/>
      </w:r>
      <w:r>
        <w:t xml:space="preserve"> </w:t>
      </w:r>
      <w:r w:rsidRPr="00C375FE">
        <w:rPr>
          <w:sz w:val="14"/>
          <w:szCs w:val="14"/>
        </w:rPr>
        <w:t xml:space="preserve">Zie: </w:t>
      </w:r>
      <w:hyperlink r:id="rId11" w:history="1">
        <w:r w:rsidRPr="00C375FE">
          <w:rPr>
            <w:rStyle w:val="Hyperlink"/>
            <w:sz w:val="14"/>
            <w:szCs w:val="14"/>
          </w:rPr>
          <w:t>http://www.e-overheid.nl/onderwerpen/over-de-e-overheid/architectuur/nora-familie/nora</w:t>
        </w:r>
      </w:hyperlink>
      <w:r>
        <w:t xml:space="preserve"> </w:t>
      </w:r>
    </w:p>
  </w:footnote>
  <w:footnote w:id="12">
    <w:p w14:paraId="6AE32B06" w14:textId="77777777" w:rsidR="006964DA" w:rsidRPr="00E54AAF" w:rsidRDefault="006964DA" w:rsidP="006964DA">
      <w:pPr>
        <w:pStyle w:val="Voetnoottekst"/>
        <w:jc w:val="left"/>
        <w:rPr>
          <w:sz w:val="14"/>
          <w:szCs w:val="14"/>
        </w:rPr>
      </w:pPr>
      <w:r w:rsidRPr="00E54AAF">
        <w:rPr>
          <w:rStyle w:val="Voetnootmarkering"/>
          <w:sz w:val="14"/>
          <w:szCs w:val="14"/>
        </w:rPr>
        <w:footnoteRef/>
      </w:r>
      <w:r w:rsidRPr="00E54AAF">
        <w:rPr>
          <w:sz w:val="14"/>
          <w:szCs w:val="14"/>
        </w:rPr>
        <w:t xml:space="preserve"> </w:t>
      </w:r>
      <w:r w:rsidRPr="00753DC2">
        <w:rPr>
          <w:sz w:val="14"/>
          <w:szCs w:val="14"/>
        </w:rPr>
        <w:t xml:space="preserve">Zie: </w:t>
      </w:r>
      <w:hyperlink r:id="rId12" w:history="1">
        <w:r w:rsidRPr="00753DC2">
          <w:rPr>
            <w:rStyle w:val="Hyperlink"/>
            <w:sz w:val="14"/>
            <w:szCs w:val="14"/>
          </w:rPr>
          <w:t>http://www.geonovum.nl/sites/default/files/nora3.0.pdf</w:t>
        </w:r>
      </w:hyperlink>
      <w:r w:rsidRPr="00753DC2">
        <w:rPr>
          <w:sz w:val="14"/>
          <w:szCs w:val="14"/>
        </w:rPr>
        <w:t xml:space="preserve"> </w:t>
      </w:r>
      <w:r>
        <w:rPr>
          <w:sz w:val="14"/>
          <w:szCs w:val="14"/>
        </w:rPr>
        <w:t xml:space="preserve">en </w:t>
      </w:r>
      <w:hyperlink r:id="rId13" w:history="1">
        <w:r w:rsidRPr="0098720A">
          <w:rPr>
            <w:rStyle w:val="Hyperlink"/>
            <w:sz w:val="14"/>
            <w:szCs w:val="14"/>
          </w:rPr>
          <w:t>http://www.geonovum.nl/sites/default/files/nora_dossier_geo-informatie.pdf</w:t>
        </w:r>
      </w:hyperlink>
      <w:r>
        <w:rPr>
          <w:sz w:val="14"/>
          <w:szCs w:val="14"/>
        </w:rPr>
        <w:t xml:space="preserve"> </w:t>
      </w:r>
    </w:p>
  </w:footnote>
  <w:footnote w:id="13">
    <w:p w14:paraId="27F666D0" w14:textId="77777777" w:rsidR="006964DA" w:rsidRDefault="006964DA" w:rsidP="006964DA">
      <w:pPr>
        <w:pStyle w:val="Voetnoottekst"/>
      </w:pPr>
      <w:r>
        <w:rPr>
          <w:rStyle w:val="Voetnootmarkering"/>
        </w:rPr>
        <w:footnoteRef/>
      </w:r>
      <w:r>
        <w:t xml:space="preserve"> </w:t>
      </w:r>
      <w:r w:rsidRPr="00303410">
        <w:rPr>
          <w:sz w:val="14"/>
          <w:szCs w:val="14"/>
        </w:rPr>
        <w:t xml:space="preserve">Zie: </w:t>
      </w:r>
      <w:hyperlink r:id="rId14" w:history="1">
        <w:r w:rsidRPr="00303410">
          <w:rPr>
            <w:rStyle w:val="Hyperlink"/>
            <w:sz w:val="14"/>
            <w:szCs w:val="14"/>
          </w:rPr>
          <w:t>http://www.geonovum.nl/onderwerpen/geo-architectuur/geo-nora</w:t>
        </w:r>
      </w:hyperlink>
      <w:r>
        <w:rPr>
          <w:sz w:val="14"/>
          <w:szCs w:val="14"/>
        </w:rPr>
        <w:t xml:space="preserve"> </w:t>
      </w:r>
    </w:p>
  </w:footnote>
  <w:footnote w:id="14">
    <w:p w14:paraId="32D3071D" w14:textId="77777777" w:rsidR="006964DA" w:rsidRDefault="006964DA" w:rsidP="006964DA">
      <w:pPr>
        <w:pStyle w:val="Voetnoottekst"/>
      </w:pPr>
      <w:r>
        <w:rPr>
          <w:rStyle w:val="Voetnootmarkering"/>
        </w:rPr>
        <w:footnoteRef/>
      </w:r>
      <w:r>
        <w:t xml:space="preserve"> </w:t>
      </w:r>
      <w:r w:rsidRPr="00303410">
        <w:rPr>
          <w:sz w:val="14"/>
          <w:szCs w:val="14"/>
        </w:rPr>
        <w:t xml:space="preserve">Zie: </w:t>
      </w:r>
      <w:hyperlink r:id="rId15" w:history="1">
        <w:r w:rsidRPr="00303410">
          <w:rPr>
            <w:rStyle w:val="Hyperlink"/>
            <w:sz w:val="14"/>
            <w:szCs w:val="14"/>
          </w:rPr>
          <w:t>http://www.noraonline.nl/wiki/Geo</w:t>
        </w:r>
      </w:hyperlink>
      <w:r>
        <w:rPr>
          <w:sz w:val="14"/>
          <w:szCs w:val="1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50B447C2"/>
    <w:multiLevelType w:val="hybridMultilevel"/>
    <w:tmpl w:val="265052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407AEB"/>
    <w:multiLevelType w:val="hybridMultilevel"/>
    <w:tmpl w:val="D3E21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DA"/>
    <w:rsid w:val="0055207F"/>
    <w:rsid w:val="006964DA"/>
    <w:rsid w:val="0085143D"/>
    <w:rsid w:val="009314A4"/>
    <w:rsid w:val="00B01A70"/>
    <w:rsid w:val="00B33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65D5"/>
  <w15:chartTrackingRefBased/>
  <w15:docId w15:val="{E7D799B3-F497-4DFD-952A-FDB46A18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964DA"/>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6964DA"/>
    <w:pPr>
      <w:keepNext/>
      <w:numPr>
        <w:numId w:val="1"/>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6964DA"/>
    <w:pPr>
      <w:keepNext/>
      <w:numPr>
        <w:ilvl w:val="1"/>
        <w:numId w:val="1"/>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6964DA"/>
    <w:pPr>
      <w:keepNext/>
      <w:numPr>
        <w:ilvl w:val="2"/>
        <w:numId w:val="1"/>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6964DA"/>
    <w:pPr>
      <w:keepNext/>
      <w:numPr>
        <w:ilvl w:val="3"/>
        <w:numId w:val="1"/>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6964DA"/>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6964DA"/>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6964DA"/>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6964DA"/>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6964DA"/>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964DA"/>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6964DA"/>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6964DA"/>
    <w:rPr>
      <w:rFonts w:ascii="Arial" w:eastAsia="Times New Roman" w:hAnsi="Arial" w:cs="Arial"/>
      <w:b/>
      <w:bCs/>
      <w:szCs w:val="26"/>
      <w:lang w:eastAsia="nl-NL"/>
    </w:rPr>
  </w:style>
  <w:style w:type="character" w:customStyle="1" w:styleId="Kop4Char">
    <w:name w:val="Kop 4 Char"/>
    <w:basedOn w:val="Standaardalinea-lettertype"/>
    <w:link w:val="Kop4"/>
    <w:rsid w:val="006964DA"/>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6964DA"/>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6964DA"/>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6964DA"/>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6964DA"/>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6964DA"/>
    <w:rPr>
      <w:rFonts w:ascii="Arial" w:eastAsia="Times New Roman" w:hAnsi="Arial" w:cs="Arial"/>
      <w:lang w:eastAsia="nl-NL"/>
    </w:rPr>
  </w:style>
  <w:style w:type="character" w:styleId="Hyperlink">
    <w:name w:val="Hyperlink"/>
    <w:uiPriority w:val="99"/>
    <w:rsid w:val="006964DA"/>
    <w:rPr>
      <w:color w:val="0000FF"/>
      <w:u w:val="single"/>
    </w:rPr>
  </w:style>
  <w:style w:type="paragraph" w:styleId="Voetnoottekst">
    <w:name w:val="footnote text"/>
    <w:basedOn w:val="Standaard"/>
    <w:link w:val="VoetnoottekstChar"/>
    <w:uiPriority w:val="99"/>
    <w:semiHidden/>
    <w:rsid w:val="006964DA"/>
  </w:style>
  <w:style w:type="character" w:customStyle="1" w:styleId="VoetnoottekstChar">
    <w:name w:val="Voetnoottekst Char"/>
    <w:basedOn w:val="Standaardalinea-lettertype"/>
    <w:link w:val="Voetnoottekst"/>
    <w:uiPriority w:val="99"/>
    <w:semiHidden/>
    <w:rsid w:val="006964DA"/>
    <w:rPr>
      <w:rFonts w:ascii="Verdana" w:eastAsia="Times New Roman" w:hAnsi="Verdana" w:cs="Times New Roman"/>
      <w:sz w:val="20"/>
      <w:szCs w:val="20"/>
      <w:lang w:eastAsia="nl-NL"/>
    </w:rPr>
  </w:style>
  <w:style w:type="paragraph" w:styleId="Lijstalinea">
    <w:name w:val="List Paragraph"/>
    <w:basedOn w:val="Standaard"/>
    <w:uiPriority w:val="34"/>
    <w:qFormat/>
    <w:rsid w:val="006964DA"/>
    <w:pPr>
      <w:ind w:left="720"/>
      <w:contextualSpacing/>
    </w:pPr>
  </w:style>
  <w:style w:type="character" w:styleId="Voetnootmarkering">
    <w:name w:val="footnote reference"/>
    <w:uiPriority w:val="99"/>
    <w:rsid w:val="006964DA"/>
    <w:rPr>
      <w:vertAlign w:val="superscript"/>
    </w:rPr>
  </w:style>
  <w:style w:type="paragraph" w:customStyle="1" w:styleId="Default">
    <w:name w:val="Default"/>
    <w:rsid w:val="006964DA"/>
    <w:pPr>
      <w:autoSpaceDE w:val="0"/>
      <w:autoSpaceDN w:val="0"/>
      <w:adjustRightInd w:val="0"/>
    </w:pPr>
    <w:rPr>
      <w:rFonts w:ascii="Calibri" w:eastAsia="Times New Roman" w:hAnsi="Calibri" w:cs="Calibri"/>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reativecommons.org/licenses/by-nd/3.0/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andards.cen.eu/" TargetMode="External"/><Relationship Id="rId13" Type="http://schemas.openxmlformats.org/officeDocument/2006/relationships/hyperlink" Target="http://www.geonovum.nl/sites/default/files/nora_dossier_geo-informatie.pdf" TargetMode="External"/><Relationship Id="rId3" Type="http://schemas.openxmlformats.org/officeDocument/2006/relationships/hyperlink" Target="http://www.isotc211.org" TargetMode="External"/><Relationship Id="rId7" Type="http://schemas.openxmlformats.org/officeDocument/2006/relationships/hyperlink" Target="http://www.omg.org" TargetMode="External"/><Relationship Id="rId12" Type="http://schemas.openxmlformats.org/officeDocument/2006/relationships/hyperlink" Target="http://www.geonovum.nl/sites/default/files/nora3.0.pdf" TargetMode="External"/><Relationship Id="rId2" Type="http://schemas.openxmlformats.org/officeDocument/2006/relationships/hyperlink" Target="http://www.geonovum.nl/onderwerpen/standaardisatie-nationaal-en-internationaal/nen-normcommissie" TargetMode="External"/><Relationship Id="rId1" Type="http://schemas.openxmlformats.org/officeDocument/2006/relationships/hyperlink" Target="http://www.geonovum.nl/onderwerpen/standaardisatie-nationaal-en-internationaal/algemeen-standaardisatie" TargetMode="External"/><Relationship Id="rId6" Type="http://schemas.openxmlformats.org/officeDocument/2006/relationships/hyperlink" Target="http://inspire.jrc.ec.europa.eu/" TargetMode="External"/><Relationship Id="rId11" Type="http://schemas.openxmlformats.org/officeDocument/2006/relationships/hyperlink" Target="http://www.e-overheid.nl/onderwerpen/over-de-e-overheid/architectuur/nora-familie/nora" TargetMode="External"/><Relationship Id="rId5" Type="http://schemas.openxmlformats.org/officeDocument/2006/relationships/hyperlink" Target="http://www.w3.org" TargetMode="External"/><Relationship Id="rId15" Type="http://schemas.openxmlformats.org/officeDocument/2006/relationships/hyperlink" Target="http://www.noraonline.nl/wiki/Geo" TargetMode="External"/><Relationship Id="rId10" Type="http://schemas.openxmlformats.org/officeDocument/2006/relationships/hyperlink" Target="http://www.geonovum.nl/onderwerp-artikel/geo-nora" TargetMode="External"/><Relationship Id="rId4" Type="http://schemas.openxmlformats.org/officeDocument/2006/relationships/hyperlink" Target="http://www.opengeospatial.org" TargetMode="External"/><Relationship Id="rId9" Type="http://schemas.openxmlformats.org/officeDocument/2006/relationships/hyperlink" Target="http://www.geonovum.nl/onderwerpen/geo-standaarden/raamwerk-van-geo-standaarden" TargetMode="External"/><Relationship Id="rId14" Type="http://schemas.openxmlformats.org/officeDocument/2006/relationships/hyperlink" Target="http://www.geonovum.nl/onderwerpen/geo-architectuur/geo-nor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1076</Words>
  <Characters>5923</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2020-10-30T06:31:00Z</dcterms:created>
  <dcterms:modified xsi:type="dcterms:W3CDTF">2020-10-30T06:31:00Z</dcterms:modified>
</cp:coreProperties>
</file>