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8E17" w14:textId="0DC44269" w:rsidR="00AB3170" w:rsidRDefault="00A47C95" w:rsidP="00E902F2">
      <w:pPr>
        <w:pStyle w:val="Kop1"/>
      </w:pPr>
      <w:r>
        <w:t xml:space="preserve">Aanleiding </w:t>
      </w:r>
    </w:p>
    <w:p w14:paraId="0C2BEBE5" w14:textId="77777777" w:rsidR="000A0889" w:rsidRDefault="000A0889" w:rsidP="0043015A">
      <w:r w:rsidRPr="000A0889">
        <w:t>Tijdelijke Alternatieve Maatregelen (TAM) zijn er voor het geval overheden niet op tijd kunnen aansluiten op het DSO of wanneer DSO bijvoorbeeld op een onderdeel niet op tijd klaar is. De minister wil voorkomen dat hierdoor bij gemeenten eventuele woningbouwontwikkelingen of ontwikkelingen zoals op het gebied van de energietransitie vertraging oplopen.</w:t>
      </w:r>
    </w:p>
    <w:p w14:paraId="4EC34689" w14:textId="641BAC43" w:rsidR="00774E8A" w:rsidRDefault="00774E8A" w:rsidP="0043015A">
      <w:r>
        <w:t xml:space="preserve">Met </w:t>
      </w:r>
      <w:r w:rsidRPr="00D61D1B">
        <w:t xml:space="preserve">de werkafspraak </w:t>
      </w:r>
      <w:r>
        <w:t>TAM-voorbereidingsbesluit</w:t>
      </w:r>
      <w:r w:rsidRPr="00D61D1B">
        <w:t xml:space="preserve"> </w:t>
      </w:r>
      <w:r>
        <w:t>word</w:t>
      </w:r>
      <w:r w:rsidR="00D97F96">
        <w:t>en</w:t>
      </w:r>
      <w:r>
        <w:t xml:space="preserve"> gemeenten, provincies en het Rijk de mogelijkheid </w:t>
      </w:r>
      <w:r w:rsidRPr="00D61D1B">
        <w:t xml:space="preserve">geboden om een </w:t>
      </w:r>
      <w:r>
        <w:t xml:space="preserve">Omgevingswet </w:t>
      </w:r>
      <w:r w:rsidRPr="00D61D1B">
        <w:t>voorbereidingsbesluit op</w:t>
      </w:r>
      <w:r>
        <w:t xml:space="preserve"> te stellen en publiceren op</w:t>
      </w:r>
      <w:r w:rsidRPr="00D61D1B">
        <w:t xml:space="preserve"> basis van </w:t>
      </w:r>
      <w:r>
        <w:t>de RO Standaarden 2012</w:t>
      </w:r>
      <w:r w:rsidR="00975F59">
        <w:t xml:space="preserve">, </w:t>
      </w:r>
      <w:r w:rsidR="00975F59" w:rsidRPr="0043015A">
        <w:t xml:space="preserve">via de </w:t>
      </w:r>
      <w:r w:rsidR="00975F59">
        <w:t xml:space="preserve">Ruimtelijkeplannen.nl en de </w:t>
      </w:r>
      <w:r w:rsidR="00975F59" w:rsidRPr="0043015A">
        <w:t xml:space="preserve">overbruggingsfunctie </w:t>
      </w:r>
      <w:r w:rsidR="00975F59">
        <w:t xml:space="preserve">van het Informatiehuis Ruimte </w:t>
      </w:r>
      <w:r w:rsidR="00975F59" w:rsidRPr="0043015A">
        <w:t xml:space="preserve">naar het </w:t>
      </w:r>
      <w:r w:rsidR="00975F59">
        <w:t>Digitaal Stelsel Omgevingswet</w:t>
      </w:r>
      <w:r w:rsidR="00975F59" w:rsidRPr="0043015A">
        <w:t>.</w:t>
      </w:r>
      <w:r w:rsidRPr="00D61D1B">
        <w:t xml:space="preserve"> Het kunnen nemen van een voorbereidingsbesluit is soms een onmisbaar onderdeel in de planprocedure en mag niet onmogelijk zijn als de </w:t>
      </w:r>
      <w:r>
        <w:t>STOP/TPOD</w:t>
      </w:r>
      <w:r w:rsidRPr="00D61D1B">
        <w:t xml:space="preserve"> keten nog niet (helemaal) werkt.</w:t>
      </w:r>
    </w:p>
    <w:p w14:paraId="25AD439F" w14:textId="5DABE1A7" w:rsidR="0043015A" w:rsidRPr="0043015A" w:rsidRDefault="0043015A" w:rsidP="0043015A">
      <w:r w:rsidRPr="0043015A">
        <w:t xml:space="preserve">Aanleiding voor deze werkafspraak is de </w:t>
      </w:r>
      <w:hyperlink r:id="rId13" w:history="1">
        <w:r w:rsidRPr="002C005A">
          <w:rPr>
            <w:rStyle w:val="Hyperlink"/>
          </w:rPr>
          <w:t>kamerbrief van 27 mei 2021</w:t>
        </w:r>
      </w:hyperlink>
      <w:r w:rsidRPr="0043015A">
        <w:t xml:space="preserve">, waarin de minister de </w:t>
      </w:r>
      <w:r w:rsidR="008C6CA6">
        <w:t>Tweede K</w:t>
      </w:r>
      <w:r w:rsidR="008C6CA6" w:rsidRPr="0043015A">
        <w:t xml:space="preserve">amer </w:t>
      </w:r>
      <w:r w:rsidRPr="0043015A">
        <w:t xml:space="preserve">informeert over inwerkingtredingsdatum van de Omgevingswet en mogelijke Tijdelijke Alternatieve Maatregelen (TAM). </w:t>
      </w:r>
      <w:r w:rsidR="00E40840" w:rsidRPr="0043015A">
        <w:t xml:space="preserve">Deze tijdelijke alternatieve maatregelen </w:t>
      </w:r>
      <w:r w:rsidR="00E40840">
        <w:t>maken</w:t>
      </w:r>
      <w:r w:rsidR="00E40840" w:rsidRPr="0043015A">
        <w:t xml:space="preserve"> inwerkingtreding van de Omgevingswet </w:t>
      </w:r>
      <w:r w:rsidR="00E40840">
        <w:t>mede mogelijk</w:t>
      </w:r>
      <w:r w:rsidRPr="0043015A">
        <w:t>. Ze bieden gemeenten</w:t>
      </w:r>
      <w:r w:rsidR="00EC7A99">
        <w:t xml:space="preserve">, provincies en het </w:t>
      </w:r>
      <w:proofErr w:type="spellStart"/>
      <w:r w:rsidR="00EC7A99">
        <w:t>RIjk</w:t>
      </w:r>
      <w:proofErr w:type="spellEnd"/>
      <w:r w:rsidRPr="0043015A">
        <w:t xml:space="preserve"> naast de zogenaamde ‘hoofdroute’ </w:t>
      </w:r>
      <w:r w:rsidR="0071747C">
        <w:t xml:space="preserve">een </w:t>
      </w:r>
      <w:r w:rsidRPr="0043015A">
        <w:t>tijdelijk een alternatieve</w:t>
      </w:r>
      <w:r w:rsidR="00EC7A99">
        <w:t xml:space="preserve"> route</w:t>
      </w:r>
      <w:r w:rsidR="00FA4DAE">
        <w:t xml:space="preserve">. </w:t>
      </w:r>
      <w:r w:rsidR="00FA4DAE" w:rsidRPr="00FA4DAE">
        <w:t xml:space="preserve">Deze </w:t>
      </w:r>
      <w:r w:rsidR="00FA4DAE">
        <w:t xml:space="preserve">TAM-voorbereidingsbesluit </w:t>
      </w:r>
      <w:r w:rsidR="00FA4DAE" w:rsidRPr="00FA4DAE">
        <w:t>biedt gemeenten</w:t>
      </w:r>
      <w:r w:rsidR="004570D7">
        <w:t>, provincies en het Rijk</w:t>
      </w:r>
      <w:r w:rsidR="00FA4DAE" w:rsidRPr="00FA4DAE">
        <w:t xml:space="preserve"> de mogelijkheid om op basis van de RO Standaarden 2012 na inwerkingtreden van de Omgevingswet het </w:t>
      </w:r>
      <w:r w:rsidR="00E74F77">
        <w:t xml:space="preserve">voorbereidingsbesluit </w:t>
      </w:r>
      <w:r w:rsidR="00FA4DAE" w:rsidRPr="00FA4DAE">
        <w:t>alsnog te kunnen ontsluiten in het DSO.</w:t>
      </w:r>
    </w:p>
    <w:p w14:paraId="78E23185" w14:textId="7B8C750A" w:rsidR="00702C66" w:rsidRDefault="00702C66" w:rsidP="00127B5E">
      <w:pPr>
        <w:pStyle w:val="Kop1"/>
      </w:pPr>
      <w:r>
        <w:t>Uitgangspunt</w:t>
      </w:r>
    </w:p>
    <w:p w14:paraId="79863218" w14:textId="77777777" w:rsidR="005D2D5E" w:rsidRPr="005D2D5E" w:rsidRDefault="005D2D5E" w:rsidP="005D2D5E">
      <w:r w:rsidRPr="005D2D5E">
        <w:t>De kern van het gebruik van TAM-voorbereidingsbesluit is, dat vanaf inwerkingtreding van de Omgevingswet, de bestaande Wro planketen gebruikt kan worden voor het opstellen en publiceren van een voorbereidingsbesluit. De RO Standaarden 2012 worden niet aangepast. Ook wordt op geen enkele manier iets aangepast aan de Wro plansoftware die wordt gebruikt voor digitale ruimtelijke plannen. Ook aan de manier van publiceren naar Ruimtelijkeplannen.nl verandert niets. Wel wordt de validator voor Ruimtelijkeplannen.nl aangevuld en enigszins aangepast om het overgangsrecht van Wro naar Omgevingswet te faciliteren, en de TAM-voorbereidingsbesluit mogelijk te maken.</w:t>
      </w:r>
    </w:p>
    <w:p w14:paraId="2C3CB283" w14:textId="77777777" w:rsidR="005D2D5E" w:rsidRPr="005D2D5E" w:rsidRDefault="005D2D5E" w:rsidP="005D2D5E"/>
    <w:p w14:paraId="2F9925BB" w14:textId="3E229271" w:rsidR="005D2D5E" w:rsidRPr="005D2D5E" w:rsidRDefault="005D2D5E" w:rsidP="005D2D5E">
      <w:r w:rsidRPr="005D2D5E">
        <w:t xml:space="preserve">Het Wro planfiguur ‘voorbereidingsbesluit’ wordt na de inwerkingtreding van de Omgevingswet in principe tegengehouden door de validator van Ruimtelijkeplannen.nl. De validator moet een TAM-voorbereidingsbesluit kunnen herkennen om een voorbereidingsbesluit wel door te laten ná inwerkingtreding van de Omgevingswet. Daarom is </w:t>
      </w:r>
      <w:r w:rsidR="007F56C0">
        <w:t xml:space="preserve">met </w:t>
      </w:r>
      <w:r w:rsidRPr="005D2D5E">
        <w:t>de</w:t>
      </w:r>
      <w:r w:rsidR="007F56C0">
        <w:t>ze</w:t>
      </w:r>
      <w:r w:rsidRPr="005D2D5E">
        <w:t xml:space="preserve"> werkafspraak de plannaam </w:t>
      </w:r>
      <w:r w:rsidR="00F75FC6">
        <w:t>bepalend</w:t>
      </w:r>
      <w:r w:rsidR="00440547">
        <w:t xml:space="preserve">: de plannaam </w:t>
      </w:r>
      <w:r w:rsidRPr="005D2D5E">
        <w:t>begint met “TAM-voorbereidingsbesluit”, gevolgd door de naam van het besluit. Hiermee wordt het onderscheid gemaakt tussen een Wro voorbereidingsbesluit en een voorbereidingsbesluit onder de Omgevingswet op basis van TAM-omgevingsplan.</w:t>
      </w:r>
    </w:p>
    <w:p w14:paraId="21493E1E" w14:textId="77777777" w:rsidR="005D2D5E" w:rsidRPr="005D2D5E" w:rsidRDefault="005D2D5E" w:rsidP="005D2D5E"/>
    <w:p w14:paraId="11E0CDCF" w14:textId="7010AEDA" w:rsidR="005D2D5E" w:rsidRPr="005D2D5E" w:rsidRDefault="005D2D5E" w:rsidP="005D2D5E">
      <w:r w:rsidRPr="005D2D5E">
        <w:t xml:space="preserve">Om een omgevingswetbesluit te kunnen nemen met behulp van TAM-voorbereidingsbesluit wordt uitsluitend gebruik gemaakt van de planfiguur ‘voorbereidingsbesluit’. </w:t>
      </w:r>
    </w:p>
    <w:p w14:paraId="541BED93" w14:textId="4442E0D7" w:rsidR="00702C66" w:rsidRDefault="00702C66" w:rsidP="00127B5E">
      <w:pPr>
        <w:pStyle w:val="Kop1"/>
      </w:pPr>
      <w:r>
        <w:t>Werkwijze</w:t>
      </w:r>
    </w:p>
    <w:p w14:paraId="3D91F807" w14:textId="122787C7" w:rsidR="00E51EC7" w:rsidRPr="002D79FE" w:rsidRDefault="00E51EC7" w:rsidP="00E51EC7">
      <w:r w:rsidRPr="00AF5E7C">
        <w:t xml:space="preserve">Indien in de voorbereiding op </w:t>
      </w:r>
      <w:r w:rsidR="00C96888">
        <w:t xml:space="preserve">een wijziging van </w:t>
      </w:r>
      <w:r w:rsidRPr="00AF5E7C">
        <w:t>het omgevingsplan een voorbereidingsbesluit nodig is, dan kan gebruik gemaakt worden van het IMRO-plantype ‘voorbereidingsbesluit’</w:t>
      </w:r>
      <w:r>
        <w:t>.</w:t>
      </w:r>
    </w:p>
    <w:p w14:paraId="3C09CAAB" w14:textId="77777777" w:rsidR="00872C77" w:rsidRDefault="00872C77" w:rsidP="00872C77">
      <w:r w:rsidRPr="00036654">
        <w:lastRenderedPageBreak/>
        <w:t xml:space="preserve">Anders dan bij </w:t>
      </w:r>
      <w:r>
        <w:t xml:space="preserve">bijvoorbeeld Wro </w:t>
      </w:r>
      <w:r w:rsidRPr="00036654">
        <w:t xml:space="preserve">bestemmingsplannen worden voorbereidingsbesluiten niet gemodelleerd met veel objecten. Voorbereidingsbesluiten vallen </w:t>
      </w:r>
      <w:r>
        <w:t>onder</w:t>
      </w:r>
      <w:r w:rsidRPr="00036654">
        <w:t xml:space="preserve"> IMRO2012 in de categorie ‘Gebiedsgerichte Besluiten’, feitelijk niet meer dan het plangebied met daarbinnen één of enkele gebieden</w:t>
      </w:r>
      <w:r>
        <w:t xml:space="preserve"> (vlakken) </w:t>
      </w:r>
      <w:r w:rsidRPr="00036654">
        <w:t xml:space="preserve"> waarvoor regels kunnen gelden. Aan het voorbereidingsbesluit is de besluittekst gekoppeld als vaststellingsbesluit en besluittekst. Het </w:t>
      </w:r>
      <w:r>
        <w:t xml:space="preserve">Omgevingswet </w:t>
      </w:r>
      <w:r w:rsidRPr="00036654">
        <w:t xml:space="preserve">voorbereidingsbesluit als </w:t>
      </w:r>
      <w:r>
        <w:t xml:space="preserve">TAM-voorbereidingsbesluit </w:t>
      </w:r>
      <w:r w:rsidRPr="00036654">
        <w:t xml:space="preserve">kan op dezelfde wijze worden gemaakt als het Wro voorbereidingsbesluit. Zie daarvoor de </w:t>
      </w:r>
      <w:hyperlink r:id="rId14" w:anchor="voorbereidingsbesluit" w:history="1">
        <w:r w:rsidRPr="00691687">
          <w:rPr>
            <w:rStyle w:val="Hyperlink"/>
          </w:rPr>
          <w:t>Praktijkrichtlijn Gebiedsgerichte Besluiten v1.3.5, paragraaf 5.3.3.</w:t>
        </w:r>
      </w:hyperlink>
    </w:p>
    <w:p w14:paraId="700E31D8" w14:textId="286E2654" w:rsidR="00AF5E7C" w:rsidRPr="00AF5E7C" w:rsidRDefault="00AF5E7C" w:rsidP="00AF5E7C">
      <w:r w:rsidRPr="00AF5E7C">
        <w:t xml:space="preserve">Om een </w:t>
      </w:r>
      <w:r w:rsidR="007715C6">
        <w:t xml:space="preserve">Omgevingswet </w:t>
      </w:r>
      <w:r w:rsidRPr="00AF5E7C">
        <w:t xml:space="preserve">voorbereidingsbesluit dat gemaakt is met behulp van IMRO2012 te kunnen onderscheiden </w:t>
      </w:r>
      <w:r w:rsidR="007715C6">
        <w:t xml:space="preserve">van Wro voorbereidingsbesluit, </w:t>
      </w:r>
      <w:r w:rsidRPr="00AF5E7C">
        <w:t>is het noodzakelijk dat de naam van het plan begint met ‘TAM-</w:t>
      </w:r>
      <w:proofErr w:type="gramStart"/>
      <w:r w:rsidRPr="00AF5E7C">
        <w:t>voorbereidingsbesluit‘</w:t>
      </w:r>
      <w:proofErr w:type="gramEnd"/>
      <w:r w:rsidRPr="00AF5E7C">
        <w:t xml:space="preserve">, gevolgd door de </w:t>
      </w:r>
      <w:r w:rsidR="00440547">
        <w:t>naam van het besluit</w:t>
      </w:r>
      <w:r w:rsidRPr="00AF5E7C">
        <w:t xml:space="preserve">. </w:t>
      </w:r>
    </w:p>
    <w:p w14:paraId="6B9B2F44" w14:textId="77777777" w:rsidR="00AF5E7C" w:rsidRPr="00AF5E7C" w:rsidRDefault="00AF5E7C" w:rsidP="00AF5E7C"/>
    <w:p w14:paraId="3B713106" w14:textId="70483973" w:rsidR="00AF5E7C" w:rsidRPr="00AF5E7C" w:rsidRDefault="00AF5E7C" w:rsidP="00AF5E7C">
      <w:pPr>
        <w:rPr>
          <w:b/>
          <w:bCs/>
        </w:rPr>
      </w:pPr>
      <w:r w:rsidRPr="00AF5E7C">
        <w:rPr>
          <w:b/>
          <w:bCs/>
        </w:rPr>
        <w:t xml:space="preserve">Tabel </w:t>
      </w:r>
      <w:r>
        <w:rPr>
          <w:b/>
          <w:bCs/>
        </w:rPr>
        <w:t>1</w:t>
      </w:r>
      <w:r w:rsidRPr="00AF5E7C">
        <w:rPr>
          <w:b/>
          <w:bCs/>
        </w:rPr>
        <w:t xml:space="preserve"> Specifieke waarden ‘Besluitgebied’ bij een TAM-voorbereidingsbesluit</w:t>
      </w:r>
    </w:p>
    <w:p w14:paraId="00728D9F" w14:textId="77777777" w:rsidR="00AF5E7C" w:rsidRPr="00AF5E7C" w:rsidRDefault="00AF5E7C" w:rsidP="00AF5E7C"/>
    <w:tbl>
      <w:tblPr>
        <w:tblW w:w="87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93"/>
        <w:gridCol w:w="7122"/>
      </w:tblGrid>
      <w:tr w:rsidR="00AF5E7C" w:rsidRPr="00AF5E7C" w14:paraId="681771C8" w14:textId="77777777" w:rsidTr="00E74F77">
        <w:trPr>
          <w:trHeight w:val="231"/>
          <w:tblHead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53" w:type="dxa"/>
              <w:left w:w="85" w:type="dxa"/>
              <w:bottom w:w="53" w:type="dxa"/>
              <w:right w:w="85" w:type="dxa"/>
            </w:tcMar>
            <w:hideMark/>
          </w:tcPr>
          <w:p w14:paraId="45AFC974" w14:textId="77777777" w:rsidR="00AF5E7C" w:rsidRPr="00AF5E7C" w:rsidRDefault="00AF5E7C" w:rsidP="00AF5E7C">
            <w:pPr>
              <w:rPr>
                <w:b/>
                <w:bCs/>
              </w:rPr>
            </w:pPr>
            <w:r w:rsidRPr="00AF5E7C">
              <w:rPr>
                <w:b/>
                <w:bCs/>
              </w:rPr>
              <w:t>attribuut</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53" w:type="dxa"/>
              <w:left w:w="85" w:type="dxa"/>
              <w:bottom w:w="53" w:type="dxa"/>
              <w:right w:w="85" w:type="dxa"/>
            </w:tcMar>
            <w:hideMark/>
          </w:tcPr>
          <w:p w14:paraId="03D045EE" w14:textId="77777777" w:rsidR="00AF5E7C" w:rsidRPr="00AF5E7C" w:rsidRDefault="00AF5E7C" w:rsidP="00AF5E7C">
            <w:pPr>
              <w:rPr>
                <w:b/>
                <w:bCs/>
              </w:rPr>
            </w:pPr>
            <w:r w:rsidRPr="00AF5E7C">
              <w:rPr>
                <w:b/>
                <w:bCs/>
              </w:rPr>
              <w:t>waarde</w:t>
            </w:r>
          </w:p>
        </w:tc>
      </w:tr>
      <w:tr w:rsidR="00AF5E7C" w:rsidRPr="00AF5E7C" w14:paraId="5A71CDFE" w14:textId="77777777" w:rsidTr="00E74F77">
        <w:trPr>
          <w:trHeight w:val="2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6674F9F1" w14:textId="77777777" w:rsidR="00AF5E7C" w:rsidRPr="00AF5E7C" w:rsidRDefault="00AF5E7C" w:rsidP="00AF5E7C">
            <w:proofErr w:type="spellStart"/>
            <w:r w:rsidRPr="00AF5E7C">
              <w:t>typePlan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30A58F28" w14:textId="77777777" w:rsidR="00AF5E7C" w:rsidRPr="00AF5E7C" w:rsidRDefault="00AF5E7C" w:rsidP="00AF5E7C">
            <w:r w:rsidRPr="00AF5E7C">
              <w:t>voorbereidingsbesluit</w:t>
            </w:r>
          </w:p>
        </w:tc>
      </w:tr>
      <w:tr w:rsidR="00AF5E7C" w:rsidRPr="00AF5E7C" w14:paraId="0804638E" w14:textId="77777777" w:rsidTr="00E74F77">
        <w:trPr>
          <w:trHeight w:val="23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5AF868A8" w14:textId="77777777" w:rsidR="00AF5E7C" w:rsidRPr="00AF5E7C" w:rsidRDefault="00AF5E7C" w:rsidP="00AF5E7C">
            <w:r w:rsidRPr="00AF5E7C">
              <w:t>naam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53" w:type="dxa"/>
              <w:left w:w="85" w:type="dxa"/>
              <w:bottom w:w="53" w:type="dxa"/>
              <w:right w:w="85" w:type="dxa"/>
            </w:tcMar>
            <w:hideMark/>
          </w:tcPr>
          <w:p w14:paraId="06D3D7A4" w14:textId="77777777" w:rsidR="00AF5E7C" w:rsidRPr="00AF5E7C" w:rsidRDefault="00AF5E7C" w:rsidP="00AF5E7C">
            <w:r w:rsidRPr="00AF5E7C">
              <w:t>TAM-voorbereidingsbesluit[spatie][plannaam]</w:t>
            </w:r>
          </w:p>
        </w:tc>
      </w:tr>
    </w:tbl>
    <w:p w14:paraId="2B6C022C" w14:textId="77777777" w:rsidR="00AF5E7C" w:rsidRPr="00AF5E7C" w:rsidRDefault="00AF5E7C" w:rsidP="00AF5E7C"/>
    <w:p w14:paraId="4FB65E0A" w14:textId="1F022854" w:rsidR="0058365E" w:rsidRDefault="0058365E" w:rsidP="0058365E">
      <w:r w:rsidRPr="00AC3B7C">
        <w:t xml:space="preserve">Het publiceren van een </w:t>
      </w:r>
      <w:r w:rsidR="002B141F">
        <w:t xml:space="preserve">Omgevingswet </w:t>
      </w:r>
      <w:r w:rsidRPr="00AC3B7C">
        <w:t xml:space="preserve">voorbereidingsbesluit als </w:t>
      </w:r>
      <w:r>
        <w:t xml:space="preserve">TAM-voorbereidingsbesluit </w:t>
      </w:r>
      <w:r w:rsidRPr="00AC3B7C">
        <w:t xml:space="preserve">gaat op dezelfde wijze als het Wro voorbereidingsbesluit </w:t>
      </w:r>
      <w:r>
        <w:t>met de RO Standaarden 2012</w:t>
      </w:r>
      <w:r w:rsidRPr="00AC3B7C">
        <w:t xml:space="preserve">. Vooraf kan met de validator van </w:t>
      </w:r>
      <w:r>
        <w:t>R</w:t>
      </w:r>
      <w:r w:rsidRPr="00AC3B7C">
        <w:t>uimtelijkeplannen.nl worden gecontroleerd of het besluit valide is</w:t>
      </w:r>
      <w:r>
        <w:t>, van belang is de naamgeving conform deze werkafspraak</w:t>
      </w:r>
      <w:r w:rsidR="002B141F">
        <w:t>.</w:t>
      </w:r>
    </w:p>
    <w:p w14:paraId="463265CD" w14:textId="77777777" w:rsidR="002B141F" w:rsidRDefault="002B141F" w:rsidP="0058365E"/>
    <w:p w14:paraId="27FE9E39" w14:textId="77777777" w:rsidR="002B141F" w:rsidRPr="00AC3B7C" w:rsidRDefault="002B141F" w:rsidP="002B141F">
      <w:r w:rsidRPr="00AC3B7C">
        <w:t xml:space="preserve">TAM-voorbereidingsbesluiten worden weergegeven in de viewer Regels op de Kaart </w:t>
      </w:r>
      <w:r>
        <w:t xml:space="preserve">(omgevingsloket) </w:t>
      </w:r>
      <w:r w:rsidRPr="00AC3B7C">
        <w:t xml:space="preserve">op dezelfde wijze als de Wro voorbereidingsbesluiten. Er is geen sturing op de weergave mogelijk </w:t>
      </w:r>
      <w:r>
        <w:t>met de RO Standaarden</w:t>
      </w:r>
      <w:r w:rsidRPr="00AC3B7C">
        <w:t>, en daarmee ook niet op TAM-voorbereidingsbesluiten.</w:t>
      </w:r>
    </w:p>
    <w:p w14:paraId="5F709B34" w14:textId="7944075A" w:rsidR="00702C66" w:rsidRDefault="00702C66" w:rsidP="00127B5E">
      <w:pPr>
        <w:pStyle w:val="Kop1"/>
      </w:pPr>
      <w:r>
        <w:t>Aandachtspunt</w:t>
      </w:r>
    </w:p>
    <w:p w14:paraId="5E817D06" w14:textId="162C0AF8" w:rsidR="00B84F4F" w:rsidRDefault="00B84F4F" w:rsidP="006B3BAA">
      <w:r w:rsidRPr="00AC3B7C">
        <w:t xml:space="preserve">Er zijn voor het TAM-voorbereidingsbesluit geen aanvullende </w:t>
      </w:r>
      <w:r w:rsidR="006D2539">
        <w:t xml:space="preserve">specifiek </w:t>
      </w:r>
      <w:r w:rsidR="0021329F">
        <w:t>technische</w:t>
      </w:r>
      <w:r w:rsidRPr="00AC3B7C">
        <w:t xml:space="preserve"> aandachtspunten</w:t>
      </w:r>
      <w:r>
        <w:t xml:space="preserve">. </w:t>
      </w:r>
    </w:p>
    <w:p w14:paraId="284E91F9" w14:textId="5D12B6EF" w:rsidR="00702C66" w:rsidRDefault="00702C66" w:rsidP="00127B5E">
      <w:pPr>
        <w:pStyle w:val="Kop1"/>
      </w:pPr>
      <w:r>
        <w:t>Resultaat</w:t>
      </w:r>
    </w:p>
    <w:p w14:paraId="4C8E0A70" w14:textId="3F3F0873" w:rsidR="009560BB" w:rsidRPr="009560BB" w:rsidRDefault="009560BB" w:rsidP="009560BB">
      <w:r w:rsidRPr="00CB5738">
        <w:t xml:space="preserve">Een </w:t>
      </w:r>
      <w:r>
        <w:t>voorbereidingsbesluit</w:t>
      </w:r>
      <w:r w:rsidRPr="00CB5738">
        <w:t xml:space="preserve"> op basis van </w:t>
      </w:r>
      <w:r w:rsidRPr="009560BB">
        <w:t xml:space="preserve">de RO Standaarden 2012 </w:t>
      </w:r>
      <w:r w:rsidRPr="00CB5738">
        <w:t xml:space="preserve">dat via de overbruggingsfunctie wordt ontsloten in </w:t>
      </w:r>
      <w:r w:rsidRPr="009560BB">
        <w:t>de landelijke voorziening Digitaal Stelsel Omgevingswet</w:t>
      </w:r>
      <w:r w:rsidRPr="00CB5738">
        <w:t>.</w:t>
      </w:r>
    </w:p>
    <w:p w14:paraId="4CF5B01B" w14:textId="0871D55A" w:rsidR="00A47C95" w:rsidRDefault="00A47C95" w:rsidP="006B3BAA"/>
    <w:p w14:paraId="1212937F" w14:textId="77777777" w:rsidR="00A47C95" w:rsidRPr="006B3BAA" w:rsidRDefault="00A47C95" w:rsidP="006B3BAA"/>
    <w:sectPr w:rsidR="00A47C95" w:rsidRPr="006B3BAA" w:rsidSect="00A17C58">
      <w:footerReference w:type="first" r:id="rId15"/>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75147" w14:textId="77777777" w:rsidR="00D64A05" w:rsidRDefault="00D64A05" w:rsidP="007B1AC7">
      <w:pPr>
        <w:spacing w:line="240" w:lineRule="auto"/>
      </w:pPr>
      <w:r>
        <w:separator/>
      </w:r>
    </w:p>
  </w:endnote>
  <w:endnote w:type="continuationSeparator" w:id="0">
    <w:p w14:paraId="5C9808E1" w14:textId="77777777" w:rsidR="00D64A05" w:rsidRDefault="00D64A05" w:rsidP="007B1AC7">
      <w:pPr>
        <w:spacing w:line="240" w:lineRule="auto"/>
      </w:pPr>
      <w:r>
        <w:continuationSeparator/>
      </w:r>
    </w:p>
  </w:endnote>
  <w:endnote w:type="continuationNotice" w:id="1">
    <w:p w14:paraId="4D589A42" w14:textId="77777777" w:rsidR="00D64A05" w:rsidRDefault="00D64A0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C49F" w14:textId="77777777" w:rsidR="00AA2E72" w:rsidRDefault="00AA2E72" w:rsidP="00AA2E72">
    <w:pPr>
      <w:pStyle w:val="Voettekst"/>
    </w:pPr>
  </w:p>
  <w:p w14:paraId="4180CA86"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C13B1" w14:textId="77777777" w:rsidR="00D64A05" w:rsidRDefault="00D64A05" w:rsidP="007B1AC7">
      <w:pPr>
        <w:spacing w:line="240" w:lineRule="auto"/>
      </w:pPr>
      <w:r>
        <w:separator/>
      </w:r>
    </w:p>
  </w:footnote>
  <w:footnote w:type="continuationSeparator" w:id="0">
    <w:p w14:paraId="7531EB31" w14:textId="77777777" w:rsidR="00D64A05" w:rsidRDefault="00D64A05" w:rsidP="007B1AC7">
      <w:pPr>
        <w:spacing w:line="240" w:lineRule="auto"/>
      </w:pPr>
      <w:r>
        <w:continuationSeparator/>
      </w:r>
    </w:p>
  </w:footnote>
  <w:footnote w:type="continuationNotice" w:id="1">
    <w:p w14:paraId="29B01902" w14:textId="77777777" w:rsidR="00D64A05" w:rsidRDefault="00D64A0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1B1E7AAE"/>
    <w:multiLevelType w:val="hybridMultilevel"/>
    <w:tmpl w:val="539AA6D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767D99"/>
    <w:multiLevelType w:val="multilevel"/>
    <w:tmpl w:val="3540215E"/>
    <w:numStyleLink w:val="GNOpsomming"/>
  </w:abstractNum>
  <w:abstractNum w:abstractNumId="3"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6"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7" w15:restartNumberingAfterBreak="0">
    <w:nsid w:val="77A65D69"/>
    <w:multiLevelType w:val="hybridMultilevel"/>
    <w:tmpl w:val="B5CCD3A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9318135">
    <w:abstractNumId w:val="3"/>
  </w:num>
  <w:num w:numId="2" w16cid:durableId="828718779">
    <w:abstractNumId w:val="4"/>
  </w:num>
  <w:num w:numId="3" w16cid:durableId="1062876181">
    <w:abstractNumId w:val="5"/>
  </w:num>
  <w:num w:numId="4" w16cid:durableId="928579768">
    <w:abstractNumId w:val="0"/>
  </w:num>
  <w:num w:numId="5" w16cid:durableId="1027104199">
    <w:abstractNumId w:val="0"/>
  </w:num>
  <w:num w:numId="6" w16cid:durableId="1398482025">
    <w:abstractNumId w:val="0"/>
  </w:num>
  <w:num w:numId="7" w16cid:durableId="8799272">
    <w:abstractNumId w:val="6"/>
  </w:num>
  <w:num w:numId="8" w16cid:durableId="1150707098">
    <w:abstractNumId w:val="2"/>
  </w:num>
  <w:num w:numId="9" w16cid:durableId="789008010">
    <w:abstractNumId w:val="1"/>
  </w:num>
  <w:num w:numId="10" w16cid:durableId="929509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TAM voorbereidingsbesluit"/>
    <w:docVar w:name="ID003" w:val="waTAMvbbesluit"/>
    <w:docVar w:name="ID004" w:val="ro"/>
    <w:docVar w:name="ID005" w:val="GN-WV"/>
    <w:docVar w:name="ID006" w:val="WA"/>
    <w:docVar w:name="ID007" w:val="cc-by-nd"/>
    <w:docVar w:name="ID010" w:val="geen"/>
    <w:docVar w:name="ID011" w:val="Waar"/>
    <w:docVar w:name="ID012" w:val="1"/>
    <w:docVar w:name="ID01201" w:val="beheerder RO Standaarden|Geonovum|https://www.geonovum.nl/"/>
    <w:docVar w:name="ID013" w:val="0"/>
    <w:docVar w:name="ID014" w:val="0"/>
    <w:docVar w:name="ID015" w:val="Onwaar"/>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1463B3"/>
    <w:rsid w:val="00003B3C"/>
    <w:rsid w:val="00025419"/>
    <w:rsid w:val="0006671D"/>
    <w:rsid w:val="000A0889"/>
    <w:rsid w:val="000A118A"/>
    <w:rsid w:val="000A79DE"/>
    <w:rsid w:val="000E4A7A"/>
    <w:rsid w:val="000F6AC1"/>
    <w:rsid w:val="001150E0"/>
    <w:rsid w:val="00127B5E"/>
    <w:rsid w:val="001403D0"/>
    <w:rsid w:val="001463B3"/>
    <w:rsid w:val="00183946"/>
    <w:rsid w:val="001A3526"/>
    <w:rsid w:val="001B0E25"/>
    <w:rsid w:val="001C48FD"/>
    <w:rsid w:val="001F1FB1"/>
    <w:rsid w:val="0021329F"/>
    <w:rsid w:val="002304C9"/>
    <w:rsid w:val="0024557D"/>
    <w:rsid w:val="002B0A86"/>
    <w:rsid w:val="002B141F"/>
    <w:rsid w:val="002C005A"/>
    <w:rsid w:val="002D593F"/>
    <w:rsid w:val="002D79FE"/>
    <w:rsid w:val="002E3A7D"/>
    <w:rsid w:val="002E50EE"/>
    <w:rsid w:val="002F7AC1"/>
    <w:rsid w:val="00305290"/>
    <w:rsid w:val="00311D15"/>
    <w:rsid w:val="00313CC4"/>
    <w:rsid w:val="00320458"/>
    <w:rsid w:val="00361694"/>
    <w:rsid w:val="003620E2"/>
    <w:rsid w:val="00365D6B"/>
    <w:rsid w:val="00373552"/>
    <w:rsid w:val="003B541D"/>
    <w:rsid w:val="003C1807"/>
    <w:rsid w:val="003D2D13"/>
    <w:rsid w:val="003D598F"/>
    <w:rsid w:val="003F3AA2"/>
    <w:rsid w:val="003F709E"/>
    <w:rsid w:val="004160B1"/>
    <w:rsid w:val="0043015A"/>
    <w:rsid w:val="00430391"/>
    <w:rsid w:val="00433A12"/>
    <w:rsid w:val="00440547"/>
    <w:rsid w:val="00451B93"/>
    <w:rsid w:val="004570D7"/>
    <w:rsid w:val="00474CF2"/>
    <w:rsid w:val="0049484E"/>
    <w:rsid w:val="004A3394"/>
    <w:rsid w:val="004C447E"/>
    <w:rsid w:val="004C53C5"/>
    <w:rsid w:val="004C60CB"/>
    <w:rsid w:val="00502AA2"/>
    <w:rsid w:val="00507F79"/>
    <w:rsid w:val="005319CE"/>
    <w:rsid w:val="00543F91"/>
    <w:rsid w:val="00544075"/>
    <w:rsid w:val="0055043D"/>
    <w:rsid w:val="0058365E"/>
    <w:rsid w:val="005908EF"/>
    <w:rsid w:val="005B21C6"/>
    <w:rsid w:val="005D2D5E"/>
    <w:rsid w:val="006008C3"/>
    <w:rsid w:val="00615C2D"/>
    <w:rsid w:val="0063746A"/>
    <w:rsid w:val="006700F0"/>
    <w:rsid w:val="00691526"/>
    <w:rsid w:val="006B3212"/>
    <w:rsid w:val="006B3BAA"/>
    <w:rsid w:val="006D2539"/>
    <w:rsid w:val="006D5898"/>
    <w:rsid w:val="00702C66"/>
    <w:rsid w:val="0071712A"/>
    <w:rsid w:val="0071747C"/>
    <w:rsid w:val="007423C1"/>
    <w:rsid w:val="00742D5A"/>
    <w:rsid w:val="00753D61"/>
    <w:rsid w:val="007715C6"/>
    <w:rsid w:val="0077206A"/>
    <w:rsid w:val="00774E8A"/>
    <w:rsid w:val="00781A15"/>
    <w:rsid w:val="00786B3D"/>
    <w:rsid w:val="007B1AC7"/>
    <w:rsid w:val="007C0210"/>
    <w:rsid w:val="007F56C0"/>
    <w:rsid w:val="00827643"/>
    <w:rsid w:val="00845546"/>
    <w:rsid w:val="00863452"/>
    <w:rsid w:val="008639CB"/>
    <w:rsid w:val="00872C77"/>
    <w:rsid w:val="008C6CA6"/>
    <w:rsid w:val="008D32A8"/>
    <w:rsid w:val="008E49D5"/>
    <w:rsid w:val="009560BB"/>
    <w:rsid w:val="00961AFA"/>
    <w:rsid w:val="00973FDB"/>
    <w:rsid w:val="00975F59"/>
    <w:rsid w:val="00980AD0"/>
    <w:rsid w:val="0099664E"/>
    <w:rsid w:val="009C0AAD"/>
    <w:rsid w:val="009D0622"/>
    <w:rsid w:val="00A17C58"/>
    <w:rsid w:val="00A4230C"/>
    <w:rsid w:val="00A47C95"/>
    <w:rsid w:val="00A51C0B"/>
    <w:rsid w:val="00A6146F"/>
    <w:rsid w:val="00A705A5"/>
    <w:rsid w:val="00A734CB"/>
    <w:rsid w:val="00A94AE1"/>
    <w:rsid w:val="00AA2E72"/>
    <w:rsid w:val="00AB3170"/>
    <w:rsid w:val="00AF4158"/>
    <w:rsid w:val="00AF5E7C"/>
    <w:rsid w:val="00B02F1B"/>
    <w:rsid w:val="00B21A7A"/>
    <w:rsid w:val="00B34D22"/>
    <w:rsid w:val="00B36E16"/>
    <w:rsid w:val="00B63EE4"/>
    <w:rsid w:val="00B77FF3"/>
    <w:rsid w:val="00B84F4F"/>
    <w:rsid w:val="00BD464F"/>
    <w:rsid w:val="00BE1450"/>
    <w:rsid w:val="00C116D2"/>
    <w:rsid w:val="00C24535"/>
    <w:rsid w:val="00C24D6F"/>
    <w:rsid w:val="00C438A7"/>
    <w:rsid w:val="00C6797B"/>
    <w:rsid w:val="00C96888"/>
    <w:rsid w:val="00CA14D2"/>
    <w:rsid w:val="00CC1A20"/>
    <w:rsid w:val="00CF606D"/>
    <w:rsid w:val="00D141B0"/>
    <w:rsid w:val="00D604AE"/>
    <w:rsid w:val="00D61C12"/>
    <w:rsid w:val="00D64A05"/>
    <w:rsid w:val="00D93829"/>
    <w:rsid w:val="00D97F96"/>
    <w:rsid w:val="00DA00D9"/>
    <w:rsid w:val="00DA636A"/>
    <w:rsid w:val="00DB0B97"/>
    <w:rsid w:val="00DC1A01"/>
    <w:rsid w:val="00DF73C0"/>
    <w:rsid w:val="00E11010"/>
    <w:rsid w:val="00E22A12"/>
    <w:rsid w:val="00E24F51"/>
    <w:rsid w:val="00E30D15"/>
    <w:rsid w:val="00E40840"/>
    <w:rsid w:val="00E453A9"/>
    <w:rsid w:val="00E51EC7"/>
    <w:rsid w:val="00E663AB"/>
    <w:rsid w:val="00E74F77"/>
    <w:rsid w:val="00E902F2"/>
    <w:rsid w:val="00EA1C75"/>
    <w:rsid w:val="00EC7A99"/>
    <w:rsid w:val="00ED00DC"/>
    <w:rsid w:val="00EE6B67"/>
    <w:rsid w:val="00F30D6B"/>
    <w:rsid w:val="00F35065"/>
    <w:rsid w:val="00F75FC6"/>
    <w:rsid w:val="00F80A9C"/>
    <w:rsid w:val="00F84DE3"/>
    <w:rsid w:val="00F85DF2"/>
    <w:rsid w:val="00FA1A19"/>
    <w:rsid w:val="00FA4DAE"/>
    <w:rsid w:val="00FC2423"/>
    <w:rsid w:val="00FC37EB"/>
    <w:rsid w:val="00FC6A50"/>
    <w:rsid w:val="00FE4B43"/>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F5235"/>
  <w15:chartTrackingRefBased/>
  <w15:docId w15:val="{C6CAEB66-F54D-41ED-858E-27E960CA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71D"/>
    <w:pPr>
      <w:spacing w:after="0"/>
    </w:pPr>
  </w:style>
  <w:style w:type="paragraph" w:styleId="Kop1">
    <w:name w:val="heading 1"/>
    <w:basedOn w:val="Standaard"/>
    <w:next w:val="Standaard"/>
    <w:link w:val="Kop1Char"/>
    <w:uiPriority w:val="9"/>
    <w:qFormat/>
    <w:rsid w:val="00E22A12"/>
    <w:pPr>
      <w:keepNext/>
      <w:keepLines/>
      <w:numPr>
        <w:numId w:val="6"/>
      </w:numPr>
      <w:spacing w:before="400" w:after="160"/>
      <w:outlineLvl w:val="0"/>
    </w:pPr>
    <w:rPr>
      <w:rFonts w:asciiTheme="majorHAnsi" w:eastAsiaTheme="majorEastAsia" w:hAnsiTheme="majorHAnsi" w:cstheme="majorBidi"/>
      <w:b/>
      <w:color w:val="0085C6" w:themeColor="accent3"/>
      <w:sz w:val="44"/>
      <w:szCs w:val="32"/>
    </w:rPr>
  </w:style>
  <w:style w:type="paragraph" w:styleId="Kop2">
    <w:name w:val="heading 2"/>
    <w:basedOn w:val="Standaard"/>
    <w:next w:val="Standaard"/>
    <w:link w:val="Kop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Kop3">
    <w:name w:val="heading 3"/>
    <w:basedOn w:val="Standaard"/>
    <w:next w:val="Standaard"/>
    <w:link w:val="Kop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Kop4">
    <w:name w:val="heading 4"/>
    <w:basedOn w:val="Standaard"/>
    <w:next w:val="Standaard"/>
    <w:link w:val="Kop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D141B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style>
  <w:style w:type="paragraph" w:styleId="Voettekst">
    <w:name w:val="footer"/>
    <w:basedOn w:val="Standaard"/>
    <w:link w:val="VoettekstChar"/>
    <w:uiPriority w:val="99"/>
    <w:unhideWhenUsed/>
    <w:rsid w:val="00D141B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141B0"/>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Theme="majorHAnsi" w:eastAsiaTheme="majorEastAsia" w:hAnsiTheme="majorHAnsi" w:cstheme="majorBidi"/>
      <w:b/>
      <w:color w:val="64686B" w:themeColor="accent2"/>
      <w:sz w:val="28"/>
      <w:szCs w:val="26"/>
    </w:rPr>
  </w:style>
  <w:style w:type="character" w:customStyle="1" w:styleId="Kop3Char">
    <w:name w:val="Kop 3 Char"/>
    <w:basedOn w:val="Standaardalinea-lettertype"/>
    <w:link w:val="Kop3"/>
    <w:uiPriority w:val="9"/>
    <w:rsid w:val="00E22A12"/>
    <w:rPr>
      <w:rFonts w:asciiTheme="majorHAnsi" w:eastAsiaTheme="majorEastAsia" w:hAnsiTheme="majorHAnsi" w:cstheme="majorBidi"/>
      <w:b/>
      <w:color w:val="64686B" w:themeColor="accent2"/>
      <w:sz w:val="24"/>
      <w:szCs w:val="24"/>
    </w:rPr>
  </w:style>
  <w:style w:type="character" w:customStyle="1" w:styleId="Kop4Char">
    <w:name w:val="Kop 4 Char"/>
    <w:basedOn w:val="Standaardalinea-lettertype"/>
    <w:link w:val="Kop4"/>
    <w:uiPriority w:val="9"/>
    <w:rsid w:val="00E22A12"/>
    <w:rPr>
      <w:rFonts w:asciiTheme="majorHAnsi" w:eastAsiaTheme="majorEastAsia" w:hAnsiTheme="majorHAnsi" w:cstheme="majorBidi"/>
      <w:b/>
      <w:iCs/>
      <w:color w:val="64686B" w:themeColor="text2"/>
      <w:sz w:val="24"/>
    </w:rPr>
  </w:style>
  <w:style w:type="paragraph" w:styleId="Lijstalinea">
    <w:name w:val="List Paragraph"/>
    <w:basedOn w:val="Standaard"/>
    <w:uiPriority w:val="34"/>
    <w:qFormat/>
    <w:rsid w:val="00A734CB"/>
    <w:pPr>
      <w:ind w:left="720"/>
      <w:contextualSpacing/>
    </w:pPr>
  </w:style>
  <w:style w:type="character" w:styleId="Verwijzingopmerking">
    <w:name w:val="annotation reference"/>
    <w:basedOn w:val="Standaardalinea-lettertype"/>
    <w:rsid w:val="00B84F4F"/>
    <w:rPr>
      <w:sz w:val="16"/>
      <w:szCs w:val="16"/>
    </w:rPr>
  </w:style>
  <w:style w:type="paragraph" w:styleId="Tekstopmerking">
    <w:name w:val="annotation text"/>
    <w:basedOn w:val="Standaard"/>
    <w:link w:val="TekstopmerkingChar"/>
    <w:rsid w:val="00B84F4F"/>
    <w:pPr>
      <w:spacing w:line="240" w:lineRule="auto"/>
      <w:jc w:val="both"/>
    </w:pPr>
    <w:rPr>
      <w:rFonts w:ascii="Verdana" w:eastAsia="Times New Roman" w:hAnsi="Verdana" w:cs="Times New Roman"/>
      <w:color w:val="auto"/>
      <w:lang w:eastAsia="nl-NL"/>
    </w:rPr>
  </w:style>
  <w:style w:type="character" w:customStyle="1" w:styleId="TekstopmerkingChar">
    <w:name w:val="Tekst opmerking Char"/>
    <w:basedOn w:val="Standaardalinea-lettertype"/>
    <w:link w:val="Tekstopmerking"/>
    <w:rsid w:val="00B84F4F"/>
    <w:rPr>
      <w:rFonts w:ascii="Verdana" w:eastAsia="Times New Roman" w:hAnsi="Verdana" w:cs="Times New Roman"/>
      <w:color w:val="auto"/>
      <w:lang w:eastAsia="nl-NL"/>
    </w:rPr>
  </w:style>
  <w:style w:type="character" w:styleId="Vermelding">
    <w:name w:val="Mention"/>
    <w:basedOn w:val="Standaardalinea-lettertype"/>
    <w:uiPriority w:val="99"/>
    <w:unhideWhenUsed/>
    <w:rsid w:val="00B84F4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zoek.officielebekendmakingen.nl/kst-33118-CF.html"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docs.geostandaarden.nl/ro/def-pr-gb2012-20181023/" TargetMode="Externa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3.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198CB-D0B1-4DBA-81DC-B5FEA28FA7F3}">
  <ds:schemaRefs>
    <ds:schemaRef ds:uri="Extra"/>
  </ds:schemaRefs>
</ds:datastoreItem>
</file>

<file path=customXml/itemProps3.xml><?xml version="1.0" encoding="utf-8"?>
<ds:datastoreItem xmlns:ds="http://schemas.openxmlformats.org/officeDocument/2006/customXml" ds:itemID="{B21E6D47-CE76-4096-97AA-0A295B065E65}"/>
</file>

<file path=customXml/itemProps4.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5.xml><?xml version="1.0" encoding="utf-8"?>
<ds:datastoreItem xmlns:ds="http://schemas.openxmlformats.org/officeDocument/2006/customXml" ds:itemID="{806AE41D-9677-4957-B8AE-34AA56DF7F8D}">
  <ds:schemaRefs>
    <ds:schemaRef ds:uri="http://schemas.microsoft.com/sharepoint/v3/contenttype/forms"/>
  </ds:schemaRefs>
</ds:datastoreItem>
</file>

<file path=customXml/itemProps6.xml><?xml version="1.0" encoding="utf-8"?>
<ds:datastoreItem xmlns:ds="http://schemas.openxmlformats.org/officeDocument/2006/customXml" ds:itemID="{80EDE4FA-3943-4A24-9786-395C6417CD47}">
  <ds:schemaRefs>
    <ds:schemaRef ds:uri="http://schemas.microsoft.com/office/2006/metadata/properties"/>
    <ds:schemaRef ds:uri="http://schemas.microsoft.com/office/infopath/2007/PartnerControls"/>
    <ds:schemaRef ds:uri="ab01c9f7-308e-412a-8b6b-2a38868f1fe8"/>
    <ds:schemaRef ds:uri="f5714f12-861a-48fb-8033-d35a907f947e"/>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825</Words>
  <Characters>4538</Characters>
  <Application>Microsoft Office Word</Application>
  <DocSecurity>0</DocSecurity>
  <Lines>37</Lines>
  <Paragraphs>10</Paragraphs>
  <ScaleCrop>false</ScaleCrop>
  <Company/>
  <LinksUpToDate>false</LinksUpToDate>
  <CharactersWithSpaces>5353</CharactersWithSpaces>
  <SharedDoc>false</SharedDoc>
  <HLinks>
    <vt:vector size="12" baseType="variant">
      <vt:variant>
        <vt:i4>655370</vt:i4>
      </vt:variant>
      <vt:variant>
        <vt:i4>3</vt:i4>
      </vt:variant>
      <vt:variant>
        <vt:i4>0</vt:i4>
      </vt:variant>
      <vt:variant>
        <vt:i4>5</vt:i4>
      </vt:variant>
      <vt:variant>
        <vt:lpwstr>https://docs.geostandaarden.nl/ro/def-pr-gb2012-20181023/</vt:lpwstr>
      </vt:variant>
      <vt:variant>
        <vt:lpwstr>voorbereidingsbesluit</vt:lpwstr>
      </vt:variant>
      <vt:variant>
        <vt:i4>4784207</vt:i4>
      </vt:variant>
      <vt:variant>
        <vt:i4>0</vt:i4>
      </vt:variant>
      <vt:variant>
        <vt:i4>0</vt:i4>
      </vt:variant>
      <vt:variant>
        <vt:i4>5</vt:i4>
      </vt:variant>
      <vt:variant>
        <vt:lpwstr>https://zoek.officielebekendmakingen.nl/kst-33118-CF.html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van Scherpenzeel</dc:creator>
  <cp:keywords/>
  <dc:description/>
  <cp:lastModifiedBy>Monique van Scherpenzeel</cp:lastModifiedBy>
  <cp:revision>72</cp:revision>
  <dcterms:created xsi:type="dcterms:W3CDTF">2022-08-25T22:25:00Z</dcterms:created>
  <dcterms:modified xsi:type="dcterms:W3CDTF">2022-09-07T14:19:00Z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0x01010063B796D0CB608148ADB6A3FE6184D975</vt:lpwstr>
  </property>
  <property fmtid="{D5CDD505-2E9C-101B-9397-08002B2CF9AE}" pid="3" name="MediaServiceImageTags">
    <vt:lpwstr/>
  </property>
</Properties>
</file>