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E22605" w:rsidRDefault="00FB5DEB" w:rsidP="004E1AED">
      <w:pPr>
        <w:pStyle w:val="Titel"/>
        <w:rPr>
          <w:sz w:val="48"/>
        </w:rPr>
      </w:pPr>
      <w:r w:rsidRPr="00E22605">
        <w:rPr>
          <w:sz w:val="48"/>
        </w:rPr>
        <w:t xml:space="preserve">Informatiebehoeften </w:t>
      </w:r>
      <w:r w:rsidR="00E22605" w:rsidRPr="00E22605">
        <w:rPr>
          <w:sz w:val="48"/>
        </w:rPr>
        <w:t>INSTALLATIES</w:t>
      </w:r>
    </w:p>
    <w:p w:rsidR="00194DF6" w:rsidRDefault="00FB5DEB" w:rsidP="00EC735C">
      <w:pPr>
        <w:pStyle w:val="Kop1"/>
      </w:pPr>
      <w:r>
        <w:t>De vraag</w:t>
      </w:r>
    </w:p>
    <w:p w:rsidR="00532A91" w:rsidRDefault="00532A91" w:rsidP="00FB5DEB">
      <w:r>
        <w:t>“Kan je tbv het installatie register aangeven welke installaties daarin horen en vervolgens ook aangeven welke attributen voor dat installatieregister relevant zijn?”. Dat was in essentie de vraag die</w:t>
      </w:r>
      <w:r w:rsidR="00501321">
        <w:t xml:space="preserve"> ik meekreeg uit gesprekken met jullie (Lydia/Bas) </w:t>
      </w:r>
      <w:r>
        <w:t>tijdens en na de startbijeenkomst van VIVET.</w:t>
      </w:r>
      <w:r w:rsidR="00847DBC">
        <w:t xml:space="preserve"> </w:t>
      </w:r>
    </w:p>
    <w:p w:rsidR="00532A91" w:rsidRDefault="00532A91" w:rsidP="00FB5DEB">
      <w:r>
        <w:t>Om de vraag te beantwoorden heb ik alle vragen die gerelateerd waren aan installaties gefilterd uit de 2964 geïdentificeerde informatiebehoeften</w:t>
      </w:r>
      <w:r w:rsidR="00FB5DEB">
        <w:t xml:space="preserve">. </w:t>
      </w:r>
      <w:r w:rsidR="001C5A49">
        <w:t>Onderstaande cijfers</w:t>
      </w:r>
      <w:r>
        <w:t xml:space="preserve"> voor installaties </w:t>
      </w:r>
      <w:r w:rsidR="001C5A49">
        <w:t>kwamen tot stand uit een analyse uit 49 energietransitie gerelateerde brondocumenten. Deze analyse –gedaan met 15 verschillende analysten- heeft uiteindelijk geresulteerd in 2964 geïdent</w:t>
      </w:r>
      <w:r w:rsidR="00803DA8">
        <w:t xml:space="preserve">ificeerde informatiebehoeften. </w:t>
      </w:r>
    </w:p>
    <w:p w:rsidR="00501321" w:rsidRDefault="00F77BEB" w:rsidP="00FB5DEB">
      <w:r w:rsidRPr="00F77BEB">
        <w:rPr>
          <w:noProof/>
          <w:u w:val="single"/>
          <w:lang w:eastAsia="nl-NL"/>
        </w:rPr>
        <w:drawing>
          <wp:anchor distT="0" distB="0" distL="114300" distR="114300" simplePos="0" relativeHeight="251659264" behindDoc="1" locked="0" layoutInCell="1" allowOverlap="1" wp14:anchorId="6261B677" wp14:editId="59A1F0F5">
            <wp:simplePos x="0" y="0"/>
            <wp:positionH relativeFrom="column">
              <wp:posOffset>2382520</wp:posOffset>
            </wp:positionH>
            <wp:positionV relativeFrom="paragraph">
              <wp:posOffset>433705</wp:posOffset>
            </wp:positionV>
            <wp:extent cx="1732915" cy="981710"/>
            <wp:effectExtent l="0" t="0" r="635" b="8890"/>
            <wp:wrapTight wrapText="bothSides">
              <wp:wrapPolygon edited="0">
                <wp:start x="0" y="0"/>
                <wp:lineTo x="0" y="21376"/>
                <wp:lineTo x="15672" y="21376"/>
                <wp:lineTo x="21370" y="20957"/>
                <wp:lineTo x="2137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915"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7BEB">
        <w:rPr>
          <w:noProof/>
          <w:u w:val="single"/>
          <w:lang w:eastAsia="nl-NL"/>
        </w:rPr>
        <w:drawing>
          <wp:anchor distT="0" distB="0" distL="114300" distR="114300" simplePos="0" relativeHeight="251663360" behindDoc="1" locked="0" layoutInCell="1" allowOverlap="1">
            <wp:simplePos x="0" y="0"/>
            <wp:positionH relativeFrom="column">
              <wp:posOffset>4241165</wp:posOffset>
            </wp:positionH>
            <wp:positionV relativeFrom="paragraph">
              <wp:posOffset>433705</wp:posOffset>
            </wp:positionV>
            <wp:extent cx="1731645" cy="977265"/>
            <wp:effectExtent l="0" t="0" r="1905" b="0"/>
            <wp:wrapTight wrapText="bothSides">
              <wp:wrapPolygon edited="0">
                <wp:start x="0" y="0"/>
                <wp:lineTo x="0" y="21053"/>
                <wp:lineTo x="15683" y="21053"/>
                <wp:lineTo x="21386" y="20632"/>
                <wp:lineTo x="2138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164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7BEB">
        <w:rPr>
          <w:u w:val="single"/>
        </w:rPr>
        <w:t>Toelichting op de cijfers in de tabellen:</w:t>
      </w:r>
      <w:r>
        <w:t xml:space="preserve"> </w:t>
      </w:r>
      <w:r w:rsidR="00501321">
        <w:t xml:space="preserve">De cijfers </w:t>
      </w:r>
      <w:r w:rsidR="001C5A49">
        <w:t>in de tabel</w:t>
      </w:r>
      <w:r w:rsidR="00803DA8">
        <w:t xml:space="preserve">len </w:t>
      </w:r>
      <w:r w:rsidR="001C5A49" w:rsidRPr="001C5A49">
        <w:t>vertegenwoordigen het "AANTAL" ke</w:t>
      </w:r>
      <w:r w:rsidR="001C5A49">
        <w:t>ren dat een Informatie</w:t>
      </w:r>
      <w:r w:rsidR="00803DA8">
        <w:t>-</w:t>
      </w:r>
      <w:r w:rsidR="001C5A49">
        <w:t xml:space="preserve">behoefte </w:t>
      </w:r>
      <w:r w:rsidR="00501321">
        <w:t xml:space="preserve">is </w:t>
      </w:r>
      <w:r w:rsidR="001C5A49">
        <w:t>“</w:t>
      </w:r>
      <w:r w:rsidR="001C5A49" w:rsidRPr="001C5A49">
        <w:t>getagd</w:t>
      </w:r>
      <w:r w:rsidR="001C5A49">
        <w:t>”</w:t>
      </w:r>
      <w:r w:rsidR="001C5A49" w:rsidRPr="001C5A49">
        <w:t xml:space="preserve"> met een bepaald label (bv "Elektriciteit"</w:t>
      </w:r>
      <w:r w:rsidR="001C5A49">
        <w:t xml:space="preserve"> of</w:t>
      </w:r>
      <w:r w:rsidR="001C5A49" w:rsidRPr="001C5A49">
        <w:t xml:space="preserve"> "Gas" in dimensie "ENERGIE DRAGERS").</w:t>
      </w:r>
      <w:r w:rsidR="001C5A49">
        <w:t xml:space="preserve"> </w:t>
      </w:r>
      <w:r w:rsidR="001C5A49" w:rsidRPr="001C5A49">
        <w:t>Het voorbeeld toont dus aan dat er dus meer behoeften zijn met  "Elektriciteit" dan met  "Gas".</w:t>
      </w:r>
      <w:r w:rsidR="00803DA8">
        <w:t xml:space="preserve"> Note: de gevraagde selectie </w:t>
      </w:r>
      <w:r w:rsidR="00AE7487">
        <w:t>op “</w:t>
      </w:r>
      <w:r w:rsidR="00532A91">
        <w:t>INSTALLATIES</w:t>
      </w:r>
      <w:r w:rsidR="00AE7487">
        <w:t xml:space="preserve">” </w:t>
      </w:r>
      <w:r w:rsidR="00803DA8">
        <w:t>is hier nog niet gemaakt.</w:t>
      </w:r>
    </w:p>
    <w:p w:rsidR="00FB5DEB" w:rsidRDefault="005A21F9" w:rsidP="00EC735C">
      <w:pPr>
        <w:pStyle w:val="Kop1"/>
      </w:pPr>
      <w:r>
        <w:t xml:space="preserve">selectie </w:t>
      </w:r>
      <w:r w:rsidR="00AE7487">
        <w:t xml:space="preserve">op </w:t>
      </w:r>
      <w:r w:rsidR="00532A91">
        <w:t>INSTALLATIES</w:t>
      </w:r>
      <w:r w:rsidR="00501321">
        <w:t xml:space="preserve"> </w:t>
      </w:r>
    </w:p>
    <w:p w:rsidR="00F41874" w:rsidRDefault="00E6488E" w:rsidP="00F77BEB">
      <w:r w:rsidRPr="00532A91">
        <w:rPr>
          <w:noProof/>
          <w:lang w:eastAsia="nl-NL"/>
        </w:rPr>
        <w:drawing>
          <wp:anchor distT="0" distB="0" distL="114300" distR="114300" simplePos="0" relativeHeight="251664384" behindDoc="0" locked="0" layoutInCell="1" allowOverlap="1">
            <wp:simplePos x="0" y="0"/>
            <wp:positionH relativeFrom="column">
              <wp:posOffset>3495040</wp:posOffset>
            </wp:positionH>
            <wp:positionV relativeFrom="paragraph">
              <wp:posOffset>102235</wp:posOffset>
            </wp:positionV>
            <wp:extent cx="2471420" cy="4121785"/>
            <wp:effectExtent l="0" t="0" r="508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1420" cy="412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089">
        <w:t xml:space="preserve">Als we de selectie maken op </w:t>
      </w:r>
      <w:r w:rsidR="00532A91">
        <w:t>installaties</w:t>
      </w:r>
      <w:r w:rsidR="00F77BEB">
        <w:t xml:space="preserve"> zien we dat er 447 keer </w:t>
      </w:r>
      <w:r w:rsidR="00501321">
        <w:t>termen “getagd” zijn</w:t>
      </w:r>
      <w:r w:rsidR="00F77BEB">
        <w:t xml:space="preserve"> die gerelateerd is aan installaties</w:t>
      </w:r>
      <w:r w:rsidR="0014743F">
        <w:t>. De tabel hiernaast beantwoord</w:t>
      </w:r>
      <w:r w:rsidR="00501321">
        <w:t>t</w:t>
      </w:r>
      <w:r w:rsidR="0014743F">
        <w:t xml:space="preserve"> </w:t>
      </w:r>
      <w:r w:rsidR="00501321">
        <w:t xml:space="preserve">dan </w:t>
      </w:r>
      <w:r w:rsidR="0014743F">
        <w:t>de vraag welke installaties er –gegeven de gelezen documenten- er in een installatieregister moeten</w:t>
      </w:r>
      <w:r w:rsidR="00E22605">
        <w:t>/kunnen</w:t>
      </w:r>
      <w:r w:rsidR="0014743F">
        <w:t xml:space="preserve"> zitten.</w:t>
      </w:r>
      <w:r w:rsidR="00E22605">
        <w:t xml:space="preserve"> (is een nog te maken </w:t>
      </w:r>
      <w:r w:rsidR="00501321">
        <w:t xml:space="preserve">ontwerp </w:t>
      </w:r>
      <w:r w:rsidR="00E22605">
        <w:t>keuze)</w:t>
      </w:r>
      <w:r w:rsidR="00F41874">
        <w:t xml:space="preserve">. </w:t>
      </w:r>
    </w:p>
    <w:p w:rsidR="00F41874" w:rsidRPr="00EE5B1D" w:rsidRDefault="00F41874" w:rsidP="00F77BEB">
      <w:pPr>
        <w:rPr>
          <w:i/>
          <w:u w:val="single"/>
        </w:rPr>
      </w:pPr>
      <w:r w:rsidRPr="00EE5B1D">
        <w:rPr>
          <w:b/>
          <w:i/>
        </w:rPr>
        <w:t>Note1:</w:t>
      </w:r>
      <w:r>
        <w:rPr>
          <w:i/>
        </w:rPr>
        <w:t xml:space="preserve"> </w:t>
      </w:r>
      <w:r w:rsidRPr="00F41874">
        <w:rPr>
          <w:i/>
        </w:rPr>
        <w:t xml:space="preserve"> Het overzicht waaruit de tabel komt is opgenomen in </w:t>
      </w:r>
      <w:r w:rsidRPr="00EE5B1D">
        <w:rPr>
          <w:i/>
          <w:u w:val="single"/>
        </w:rPr>
        <w:t>bijlage 1</w:t>
      </w:r>
    </w:p>
    <w:p w:rsidR="0014743F" w:rsidRPr="00F41874" w:rsidRDefault="00F41874" w:rsidP="00F77BEB">
      <w:pPr>
        <w:rPr>
          <w:i/>
        </w:rPr>
      </w:pPr>
      <w:r w:rsidRPr="00EE5B1D">
        <w:rPr>
          <w:b/>
          <w:i/>
        </w:rPr>
        <w:t>Note2:</w:t>
      </w:r>
      <w:r>
        <w:rPr>
          <w:i/>
        </w:rPr>
        <w:t xml:space="preserve"> De bijbehorende teksten zijn opgenomen in </w:t>
      </w:r>
      <w:r w:rsidRPr="00EE5B1D">
        <w:rPr>
          <w:i/>
          <w:u w:val="single"/>
        </w:rPr>
        <w:t>bijlage 3.</w:t>
      </w:r>
    </w:p>
    <w:p w:rsidR="00501321" w:rsidRDefault="0014743F">
      <w:pPr>
        <w:rPr>
          <w:i/>
        </w:rPr>
      </w:pPr>
      <w:r w:rsidRPr="00EE5B1D">
        <w:rPr>
          <w:b/>
          <w:i/>
        </w:rPr>
        <w:t>Note</w:t>
      </w:r>
      <w:r w:rsidR="00F41874" w:rsidRPr="00EE5B1D">
        <w:rPr>
          <w:b/>
          <w:i/>
        </w:rPr>
        <w:t>3</w:t>
      </w:r>
      <w:r w:rsidRPr="00EE5B1D">
        <w:rPr>
          <w:b/>
          <w:i/>
        </w:rPr>
        <w:t>:</w:t>
      </w:r>
      <w:r w:rsidR="00F77BEB" w:rsidRPr="0014743F">
        <w:rPr>
          <w:i/>
        </w:rPr>
        <w:t xml:space="preserve"> Omdat de term “Installaties” (of “Installatie”</w:t>
      </w:r>
      <w:r w:rsidR="00501321">
        <w:rPr>
          <w:i/>
        </w:rPr>
        <w:t>)</w:t>
      </w:r>
      <w:r w:rsidR="00F77BEB" w:rsidRPr="0014743F">
        <w:rPr>
          <w:i/>
        </w:rPr>
        <w:t xml:space="preserve"> óók kon voorkomen in combinatie met een specifieke installatie</w:t>
      </w:r>
      <w:r w:rsidR="00501321">
        <w:rPr>
          <w:i/>
        </w:rPr>
        <w:t>.</w:t>
      </w:r>
      <w:r w:rsidR="00F77BEB" w:rsidRPr="0014743F">
        <w:rPr>
          <w:i/>
        </w:rPr>
        <w:t xml:space="preserve"> </w:t>
      </w:r>
    </w:p>
    <w:p w:rsidR="00461687" w:rsidRPr="00EE5B1D" w:rsidRDefault="00376AA2">
      <w:pPr>
        <w:rPr>
          <w:i/>
        </w:rPr>
      </w:pPr>
      <w:r>
        <w:rPr>
          <w:noProof/>
          <w:lang w:eastAsia="nl-NL"/>
        </w:rPr>
        <mc:AlternateContent>
          <mc:Choice Requires="wps">
            <w:drawing>
              <wp:anchor distT="0" distB="0" distL="114300" distR="114300" simplePos="0" relativeHeight="251668480" behindDoc="0" locked="0" layoutInCell="1" allowOverlap="1" wp14:anchorId="31236500" wp14:editId="35E6805A">
                <wp:simplePos x="0" y="0"/>
                <wp:positionH relativeFrom="column">
                  <wp:posOffset>3828415</wp:posOffset>
                </wp:positionH>
                <wp:positionV relativeFrom="paragraph">
                  <wp:posOffset>1594485</wp:posOffset>
                </wp:positionV>
                <wp:extent cx="2138045" cy="251460"/>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2138045" cy="251460"/>
                        </a:xfrm>
                        <a:prstGeom prst="rect">
                          <a:avLst/>
                        </a:prstGeom>
                        <a:solidFill>
                          <a:prstClr val="white"/>
                        </a:solidFill>
                        <a:ln>
                          <a:noFill/>
                        </a:ln>
                      </wps:spPr>
                      <wps:txbx>
                        <w:txbxContent>
                          <w:p w:rsidR="00501321" w:rsidRDefault="00501321" w:rsidP="00EE5B1D">
                            <w:pPr>
                              <w:pStyle w:val="Bijschrift"/>
                              <w:jc w:val="right"/>
                              <w:rPr>
                                <w:noProof/>
                              </w:rPr>
                            </w:pPr>
                            <w:r>
                              <w:t xml:space="preserve">Tabel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236500" id="_x0000_t202" coordsize="21600,21600" o:spt="202" path="m,l,21600r21600,l21600,xe">
                <v:stroke joinstyle="miter"/>
                <v:path gradientshapeok="t" o:connecttype="rect"/>
              </v:shapetype>
              <v:shape id="Tekstvak 14" o:spid="_x0000_s1026" type="#_x0000_t202" style="position:absolute;margin-left:301.45pt;margin-top:125.55pt;width:168.35pt;height:1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" stroked="f">
                <v:textbox inset="0,0,0,0">
                  <w:txbxContent>
                    <w:p w:rsidR="00501321" w:rsidRDefault="00501321" w:rsidP="00EE5B1D">
                      <w:pPr>
                        <w:pStyle w:val="Bijschrift"/>
                        <w:jc w:val="right"/>
                        <w:rPr>
                          <w:noProof/>
                        </w:rPr>
                      </w:pPr>
                      <w:r>
                        <w:t xml:space="preserve">Tabel </w:t>
                      </w:r>
                      <w:fldSimple w:instr=" SEQ Figuur \* ARABIC ">
                        <w:r>
                          <w:rPr>
                            <w:noProof/>
                          </w:rPr>
                          <w:t>1</w:t>
                        </w:r>
                      </w:fldSimple>
                    </w:p>
                  </w:txbxContent>
                </v:textbox>
                <w10:wrap type="square"/>
              </v:shape>
            </w:pict>
          </mc:Fallback>
        </mc:AlternateContent>
      </w:r>
      <w:r w:rsidR="00501321">
        <w:rPr>
          <w:i/>
        </w:rPr>
        <w:t xml:space="preserve">Een voorbeeld: </w:t>
      </w:r>
      <w:r w:rsidR="00F77BEB" w:rsidRPr="0014743F">
        <w:rPr>
          <w:i/>
        </w:rPr>
        <w:t xml:space="preserve"> in de informatiebehoefte : “Het verwachte aantal spanningsklachten (terecht en onterechte en tgv van PV-installaties (zonnepanelen) in 2018-2020)” zijn er meer Installaties dan dat er </w:t>
      </w:r>
      <w:r w:rsidR="00EE5B1D">
        <w:rPr>
          <w:i/>
        </w:rPr>
        <w:t xml:space="preserve">unieke </w:t>
      </w:r>
      <w:r w:rsidR="00F77BEB" w:rsidRPr="0014743F">
        <w:rPr>
          <w:i/>
        </w:rPr>
        <w:t xml:space="preserve">vragen zijn </w:t>
      </w:r>
      <w:r w:rsidR="00EE5B1D">
        <w:rPr>
          <w:i/>
        </w:rPr>
        <w:t xml:space="preserve">(namelijk </w:t>
      </w:r>
      <w:r w:rsidR="00F77BEB" w:rsidRPr="0014743F">
        <w:rPr>
          <w:i/>
        </w:rPr>
        <w:t>385</w:t>
      </w:r>
      <w:r w:rsidR="00EE5B1D">
        <w:rPr>
          <w:i/>
        </w:rPr>
        <w:t xml:space="preserve">). </w:t>
      </w:r>
      <w:r w:rsidR="00F77BEB" w:rsidRPr="0014743F">
        <w:rPr>
          <w:i/>
        </w:rPr>
        <w:t xml:space="preserve">Ik </w:t>
      </w:r>
      <w:r w:rsidR="0014743F" w:rsidRPr="0014743F">
        <w:rPr>
          <w:i/>
        </w:rPr>
        <w:t xml:space="preserve">heb voorlopig even de keuze gemaakt een dergelijk vraag twee keer te tellen. Één keer bij “Installaties” en één keer bij “PV panelen”.   </w:t>
      </w:r>
      <w:r w:rsidR="00EE5B1D" w:rsidRPr="0014743F">
        <w:rPr>
          <w:i/>
        </w:rPr>
        <w:t>Voor de vraag welke installaties behoren in een installatie register is dit issue niet echt relevant.</w:t>
      </w:r>
      <w:r w:rsidR="00EE5B1D">
        <w:rPr>
          <w:i/>
        </w:rPr>
        <w:t xml:space="preserve"> En daarnaast is het</w:t>
      </w:r>
      <w:r w:rsidR="0014743F" w:rsidRPr="0014743F">
        <w:rPr>
          <w:i/>
        </w:rPr>
        <w:t xml:space="preserve"> makkelijker indikken dan uitbreiden was </w:t>
      </w:r>
      <w:r w:rsidR="00E22605">
        <w:rPr>
          <w:i/>
        </w:rPr>
        <w:t>de</w:t>
      </w:r>
      <w:r w:rsidR="0014743F" w:rsidRPr="0014743F">
        <w:rPr>
          <w:i/>
        </w:rPr>
        <w:t xml:space="preserve"> gedachte.</w:t>
      </w:r>
      <w:r w:rsidR="00F77BEB" w:rsidRPr="0014743F">
        <w:rPr>
          <w:i/>
        </w:rPr>
        <w:t xml:space="preserve"> </w:t>
      </w:r>
      <w:r w:rsidR="0014743F" w:rsidRPr="0014743F">
        <w:rPr>
          <w:i/>
        </w:rPr>
        <w:t xml:space="preserve"> In een volgende versie is het wellicht een optie om een businessrule te maken die dit soort dubbelingen eruit filtert</w:t>
      </w:r>
      <w:r w:rsidR="00EE5B1D">
        <w:rPr>
          <w:i/>
        </w:rPr>
        <w:t xml:space="preserve">. </w:t>
      </w:r>
      <w:r w:rsidR="00461687">
        <w:br w:type="page"/>
      </w:r>
    </w:p>
    <w:p w:rsidR="00E6488E" w:rsidRDefault="00E6488E" w:rsidP="00FB5DEB">
      <w:r w:rsidRPr="00501321">
        <w:rPr>
          <w:noProof/>
          <w:u w:val="single"/>
          <w:lang w:eastAsia="nl-NL"/>
        </w:rPr>
        <w:lastRenderedPageBreak/>
        <w:drawing>
          <wp:anchor distT="0" distB="0" distL="114300" distR="114300" simplePos="0" relativeHeight="251665408" behindDoc="0" locked="0" layoutInCell="1" allowOverlap="1">
            <wp:simplePos x="0" y="0"/>
            <wp:positionH relativeFrom="column">
              <wp:posOffset>2672080</wp:posOffset>
            </wp:positionH>
            <wp:positionV relativeFrom="paragraph">
              <wp:posOffset>0</wp:posOffset>
            </wp:positionV>
            <wp:extent cx="3352800" cy="2237105"/>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687" w:rsidRPr="00501321">
        <w:rPr>
          <w:u w:val="single"/>
        </w:rPr>
        <w:t xml:space="preserve">Over de </w:t>
      </w:r>
      <w:r w:rsidR="00232DFF" w:rsidRPr="00501321">
        <w:rPr>
          <w:u w:val="single"/>
        </w:rPr>
        <w:t>b</w:t>
      </w:r>
      <w:r w:rsidR="00B87880" w:rsidRPr="00501321">
        <w:rPr>
          <w:u w:val="single"/>
        </w:rPr>
        <w:t>ronnen</w:t>
      </w:r>
      <w:r w:rsidR="00B87880">
        <w:t xml:space="preserve">. </w:t>
      </w:r>
    </w:p>
    <w:p w:rsidR="001C5A49" w:rsidRDefault="00B87880" w:rsidP="00FB5DEB">
      <w:r>
        <w:t xml:space="preserve">In het overzicht hiernaast blijkt dat </w:t>
      </w:r>
      <w:r w:rsidR="00AE7487">
        <w:t>–voor de selectie</w:t>
      </w:r>
      <w:r w:rsidR="00501321">
        <w:t xml:space="preserve"> installaties</w:t>
      </w:r>
      <w:r w:rsidR="00AE7487">
        <w:t xml:space="preserve">- </w:t>
      </w:r>
      <w:r>
        <w:t>obv de 80/20 regel</w:t>
      </w:r>
      <w:r w:rsidR="00AE7487">
        <w:t xml:space="preserve"> de</w:t>
      </w:r>
      <w:r>
        <w:t xml:space="preserve"> meeste vragen te herleiden zijn naar </w:t>
      </w:r>
      <w:r w:rsidR="00461687">
        <w:t>meer dan de helft van de bronnen (7 van 12)</w:t>
      </w:r>
      <w:r>
        <w:t xml:space="preserve">. </w:t>
      </w:r>
      <w:r w:rsidR="00461687">
        <w:t xml:space="preserve">Dit benadrukt het belang van een centraal installatieregister.  Note: voor de uitvoeringsplannen wijken en </w:t>
      </w:r>
      <w:r w:rsidR="00501321">
        <w:t>industriële</w:t>
      </w:r>
      <w:r w:rsidR="00461687">
        <w:t xml:space="preserve"> verduurzamingsplannen waren nog geen documenten beschikbaar/aangereikt</w:t>
      </w:r>
      <w:r w:rsidR="00232DFF">
        <w:t>.</w:t>
      </w:r>
      <w:r>
        <w:t xml:space="preserve"> </w:t>
      </w:r>
    </w:p>
    <w:p w:rsidR="0033188F" w:rsidRDefault="0033188F" w:rsidP="00FB5DEB">
      <w:r>
        <w:rPr>
          <w:noProof/>
          <w:lang w:eastAsia="nl-NL"/>
        </w:rPr>
        <mc:AlternateContent>
          <mc:Choice Requires="wps">
            <w:drawing>
              <wp:anchor distT="0" distB="0" distL="114300" distR="114300" simplePos="0" relativeHeight="251670528" behindDoc="0" locked="0" layoutInCell="1" allowOverlap="1" wp14:anchorId="3EC222CF" wp14:editId="38BE4494">
                <wp:simplePos x="0" y="0"/>
                <wp:positionH relativeFrom="column">
                  <wp:posOffset>2710180</wp:posOffset>
                </wp:positionH>
                <wp:positionV relativeFrom="paragraph">
                  <wp:posOffset>150495</wp:posOffset>
                </wp:positionV>
                <wp:extent cx="3314700" cy="289560"/>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314700" cy="289560"/>
                        </a:xfrm>
                        <a:prstGeom prst="rect">
                          <a:avLst/>
                        </a:prstGeom>
                        <a:solidFill>
                          <a:prstClr val="white"/>
                        </a:solidFill>
                        <a:ln>
                          <a:noFill/>
                        </a:ln>
                      </wps:spPr>
                      <wps:txbx>
                        <w:txbxContent>
                          <w:p w:rsidR="00501321" w:rsidRDefault="00501321" w:rsidP="0033188F">
                            <w:pPr>
                              <w:pStyle w:val="Bijschrift"/>
                              <w:jc w:val="right"/>
                            </w:pPr>
                            <w:r>
                              <w:t>Tabel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222CF" id="Tekstvak 15" o:spid="_x0000_s1027" type="#_x0000_t202" style="position:absolute;margin-left:213.4pt;margin-top:11.85pt;width:261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" stroked="f">
                <v:textbox inset="0,0,0,0">
                  <w:txbxContent>
                    <w:p w:rsidR="00501321" w:rsidRDefault="00501321" w:rsidP="0033188F">
                      <w:pPr>
                        <w:pStyle w:val="Bijschrift"/>
                        <w:jc w:val="right"/>
                      </w:pPr>
                      <w:r>
                        <w:t>Tabel 2</w:t>
                      </w:r>
                    </w:p>
                  </w:txbxContent>
                </v:textbox>
                <w10:wrap type="square"/>
              </v:shape>
            </w:pict>
          </mc:Fallback>
        </mc:AlternateContent>
      </w:r>
    </w:p>
    <w:p w:rsidR="001A05DF" w:rsidRDefault="001A05DF" w:rsidP="001A05DF"/>
    <w:p w:rsidR="001A05DF" w:rsidRDefault="0033188F" w:rsidP="00EC735C">
      <w:pPr>
        <w:pStyle w:val="Kop1"/>
      </w:pPr>
      <w:r>
        <w:t>geï</w:t>
      </w:r>
      <w:r w:rsidR="0013369B">
        <w:t xml:space="preserve">dentificeerde </w:t>
      </w:r>
      <w:r>
        <w:t>Meet&amp;weet waarden</w:t>
      </w:r>
      <w:r w:rsidR="0013369B">
        <w:t xml:space="preserve"> van installaties</w:t>
      </w:r>
      <w:r w:rsidR="00F50FCA">
        <w:t xml:space="preserve"> </w:t>
      </w:r>
    </w:p>
    <w:p w:rsidR="009E40E1" w:rsidRDefault="009E40E1" w:rsidP="00FB5DEB">
      <w:r w:rsidRPr="009E40E1">
        <w:rPr>
          <w:noProof/>
          <w:lang w:eastAsia="nl-NL"/>
        </w:rPr>
        <w:drawing>
          <wp:anchor distT="0" distB="0" distL="114300" distR="114300" simplePos="0" relativeHeight="251666432" behindDoc="0" locked="0" layoutInCell="1" allowOverlap="1">
            <wp:simplePos x="0" y="0"/>
            <wp:positionH relativeFrom="column">
              <wp:posOffset>3402330</wp:posOffset>
            </wp:positionH>
            <wp:positionV relativeFrom="paragraph">
              <wp:posOffset>86360</wp:posOffset>
            </wp:positionV>
            <wp:extent cx="2576195" cy="5768340"/>
            <wp:effectExtent l="0" t="0" r="0" b="381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576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DFF">
        <w:t>Waar gaan de vragen dan over</w:t>
      </w:r>
      <w:r w:rsidR="00AE7487">
        <w:t>?</w:t>
      </w:r>
      <w:r w:rsidR="00232DFF">
        <w:t xml:space="preserve"> </w:t>
      </w:r>
      <w:r w:rsidR="0013369B">
        <w:t xml:space="preserve">Ofwel wat wil men weten, meten of monitoren van installaties. </w:t>
      </w:r>
      <w:r w:rsidR="001C06F2">
        <w:br/>
      </w:r>
      <w:r w:rsidR="0013369B">
        <w:t xml:space="preserve">In </w:t>
      </w:r>
      <w:r w:rsidR="001C06F2">
        <w:t>de tabel hiernaast</w:t>
      </w:r>
      <w:r w:rsidR="0013369B">
        <w:t xml:space="preserve"> zijn deze behoeften in volgorde van</w:t>
      </w:r>
      <w:r>
        <w:t xml:space="preserve"> voorkomen in beeld gebracht.</w:t>
      </w:r>
      <w:r w:rsidR="0013369B">
        <w:t xml:space="preserve"> </w:t>
      </w:r>
      <w:r w:rsidR="00E034C0">
        <w:t>Een Pareto analyse is aangebracht om de belangrijks</w:t>
      </w:r>
      <w:r w:rsidR="001C06F2">
        <w:t>te zaken in beeld te duiden</w:t>
      </w:r>
      <w:r w:rsidR="00E034C0">
        <w:t xml:space="preserve"> </w:t>
      </w:r>
    </w:p>
    <w:p w:rsidR="001C2CF3" w:rsidRDefault="009E40E1" w:rsidP="00FB5DEB">
      <w:pPr>
        <w:rPr>
          <w:i/>
        </w:rPr>
      </w:pPr>
      <w:r w:rsidRPr="00EE5B1D">
        <w:rPr>
          <w:b/>
          <w:i/>
        </w:rPr>
        <w:t>Note</w:t>
      </w:r>
      <w:r w:rsidR="001C2CF3" w:rsidRPr="00EE5B1D">
        <w:rPr>
          <w:b/>
          <w:i/>
        </w:rPr>
        <w:t>1</w:t>
      </w:r>
      <w:r w:rsidRPr="00EE5B1D">
        <w:rPr>
          <w:b/>
          <w:i/>
        </w:rPr>
        <w:t>:</w:t>
      </w:r>
      <w:r w:rsidRPr="009E40E1">
        <w:rPr>
          <w:i/>
        </w:rPr>
        <w:t xml:space="preserve"> Items met een waarde nul –zoals bv Gewicht, Diepte en Storingen zijn achterwege gelaten</w:t>
      </w:r>
      <w:r w:rsidR="001C2CF3">
        <w:rPr>
          <w:i/>
        </w:rPr>
        <w:t>.</w:t>
      </w:r>
    </w:p>
    <w:p w:rsidR="001C2CF3" w:rsidRPr="001C06F2" w:rsidRDefault="001C2CF3" w:rsidP="00FB5DEB">
      <w:pPr>
        <w:rPr>
          <w:i/>
        </w:rPr>
      </w:pPr>
      <w:r w:rsidRPr="00EE5B1D">
        <w:rPr>
          <w:b/>
          <w:i/>
        </w:rPr>
        <w:t>Note2:</w:t>
      </w:r>
      <w:r>
        <w:rPr>
          <w:i/>
        </w:rPr>
        <w:t xml:space="preserve"> Bepaalde veel voorkomende items  als “Aantallen/Hoeveelheden”,  “Joule” t</w:t>
      </w:r>
      <w:r w:rsidR="00F50FCA">
        <w:rPr>
          <w:i/>
        </w:rPr>
        <w:t>/</w:t>
      </w:r>
      <w:r>
        <w:rPr>
          <w:i/>
        </w:rPr>
        <w:t>m “Typen soorten komen meer keer voor dan in het overzicht</w:t>
      </w:r>
      <w:r w:rsidR="0033188F">
        <w:rPr>
          <w:i/>
        </w:rPr>
        <w:t xml:space="preserve"> op bijlage 1. Di</w:t>
      </w:r>
      <w:r>
        <w:rPr>
          <w:i/>
        </w:rPr>
        <w:t xml:space="preserve">t komt omdat </w:t>
      </w:r>
      <w:r w:rsidR="0033188F">
        <w:rPr>
          <w:i/>
        </w:rPr>
        <w:t>één</w:t>
      </w:r>
      <w:r>
        <w:rPr>
          <w:i/>
        </w:rPr>
        <w:t xml:space="preserve"> informatiebehoeften </w:t>
      </w:r>
      <w:r w:rsidR="0033188F">
        <w:rPr>
          <w:i/>
        </w:rPr>
        <w:t>meerdere items kan bevatten</w:t>
      </w:r>
      <w:r>
        <w:rPr>
          <w:i/>
        </w:rPr>
        <w:t xml:space="preserve">. </w:t>
      </w:r>
      <w:r w:rsidR="001C06F2">
        <w:rPr>
          <w:i/>
        </w:rPr>
        <w:br/>
        <w:t>Een v</w:t>
      </w:r>
      <w:r>
        <w:rPr>
          <w:i/>
        </w:rPr>
        <w:t xml:space="preserve">oorbeeld waarin </w:t>
      </w:r>
      <w:r w:rsidR="001C06F2">
        <w:rPr>
          <w:i/>
        </w:rPr>
        <w:t xml:space="preserve">in één informatiebehoefte </w:t>
      </w:r>
      <w:r w:rsidR="0033188F">
        <w:rPr>
          <w:i/>
        </w:rPr>
        <w:t xml:space="preserve">het item </w:t>
      </w:r>
      <w:r w:rsidR="001C06F2">
        <w:rPr>
          <w:i/>
        </w:rPr>
        <w:t>“</w:t>
      </w:r>
      <w:r>
        <w:rPr>
          <w:i/>
        </w:rPr>
        <w:t>Joule</w:t>
      </w:r>
      <w:r w:rsidR="001C06F2">
        <w:rPr>
          <w:i/>
        </w:rPr>
        <w:t>”</w:t>
      </w:r>
      <w:r>
        <w:rPr>
          <w:i/>
        </w:rPr>
        <w:t xml:space="preserve"> voorkomt naast </w:t>
      </w:r>
      <w:r w:rsidR="0033188F">
        <w:rPr>
          <w:i/>
        </w:rPr>
        <w:t xml:space="preserve">het item </w:t>
      </w:r>
      <w:r w:rsidR="001C06F2">
        <w:rPr>
          <w:i/>
        </w:rPr>
        <w:t>“O</w:t>
      </w:r>
      <w:r>
        <w:rPr>
          <w:i/>
        </w:rPr>
        <w:t>ppervlak</w:t>
      </w:r>
      <w:r w:rsidR="001C06F2">
        <w:rPr>
          <w:i/>
        </w:rPr>
        <w:t>”</w:t>
      </w:r>
      <w:r>
        <w:rPr>
          <w:i/>
        </w:rPr>
        <w:t>: “</w:t>
      </w:r>
      <w:r w:rsidRPr="001C2CF3">
        <w:rPr>
          <w:i/>
        </w:rPr>
        <w:t>PJ PV veld ha zonneakker per RES-Regio per 2040</w:t>
      </w:r>
      <w:r>
        <w:rPr>
          <w:i/>
        </w:rPr>
        <w:t xml:space="preserve">” </w:t>
      </w:r>
      <w:r w:rsidR="009E40E1">
        <w:t>.</w:t>
      </w:r>
    </w:p>
    <w:p w:rsidR="00EE5B1D" w:rsidRDefault="00EE5B1D" w:rsidP="00FB5DEB">
      <w:pPr>
        <w:rPr>
          <w:i/>
        </w:rPr>
      </w:pPr>
      <w:r w:rsidRPr="00EE5B1D">
        <w:rPr>
          <w:b/>
          <w:i/>
        </w:rPr>
        <w:t>Note3:</w:t>
      </w:r>
      <w:r w:rsidRPr="00EE5B1D">
        <w:rPr>
          <w:i/>
        </w:rPr>
        <w:t xml:space="preserve"> </w:t>
      </w:r>
      <w:r w:rsidR="009E40E1" w:rsidRPr="00EE5B1D">
        <w:rPr>
          <w:i/>
        </w:rPr>
        <w:t xml:space="preserve">Voor de uitgebreide tabel met daarin de behoeften (aantal) </w:t>
      </w:r>
      <w:r w:rsidR="009E40E1" w:rsidRPr="00EE5B1D">
        <w:rPr>
          <w:b/>
          <w:i/>
        </w:rPr>
        <w:t>per installatie</w:t>
      </w:r>
      <w:r w:rsidR="009E40E1" w:rsidRPr="00EE5B1D">
        <w:rPr>
          <w:i/>
        </w:rPr>
        <w:t xml:space="preserve"> </w:t>
      </w:r>
      <w:r w:rsidR="00161C8C" w:rsidRPr="00EE5B1D">
        <w:rPr>
          <w:i/>
        </w:rPr>
        <w:t xml:space="preserve">wordt naar </w:t>
      </w:r>
      <w:r w:rsidR="00161C8C" w:rsidRPr="00EE5B1D">
        <w:rPr>
          <w:i/>
          <w:u w:val="single"/>
        </w:rPr>
        <w:t>bijlage 2</w:t>
      </w:r>
      <w:r w:rsidR="009E40E1" w:rsidRPr="00EE5B1D">
        <w:rPr>
          <w:i/>
        </w:rPr>
        <w:t xml:space="preserve"> verwezen</w:t>
      </w:r>
      <w:r>
        <w:rPr>
          <w:i/>
        </w:rPr>
        <w:t>.</w:t>
      </w:r>
    </w:p>
    <w:p w:rsidR="0013369B" w:rsidRPr="00EE5B1D" w:rsidRDefault="00EE5B1D" w:rsidP="00FB5DEB">
      <w:pPr>
        <w:rPr>
          <w:i/>
        </w:rPr>
      </w:pPr>
      <w:r w:rsidRPr="0033188F">
        <w:rPr>
          <w:b/>
          <w:i/>
        </w:rPr>
        <w:t>Note4</w:t>
      </w:r>
      <w:r w:rsidR="0033188F">
        <w:rPr>
          <w:b/>
          <w:i/>
        </w:rPr>
        <w:t>:</w:t>
      </w:r>
      <w:r w:rsidR="0033188F">
        <w:rPr>
          <w:i/>
        </w:rPr>
        <w:t xml:space="preserve"> Natuurlijk is het net als voor tabel 1 eenvoudige mogelijk de geïdentificeerde informatiebehoeften te rubriceren volgens deze tabel</w:t>
      </w:r>
      <w:r w:rsidR="009E40E1" w:rsidRPr="00EE5B1D">
        <w:rPr>
          <w:i/>
        </w:rPr>
        <w:t>.</w:t>
      </w:r>
      <w:r w:rsidR="0033188F">
        <w:rPr>
          <w:i/>
        </w:rPr>
        <w:t xml:space="preserve"> (wil ik even aflaten hangen van de behoefte/vraag in het eerstvolgend gesprek)</w:t>
      </w:r>
      <w:r w:rsidR="009E40E1" w:rsidRPr="00EE5B1D">
        <w:rPr>
          <w:i/>
        </w:rPr>
        <w:t xml:space="preserve"> </w:t>
      </w:r>
    </w:p>
    <w:p w:rsidR="00F50FCA" w:rsidRDefault="00376AA2">
      <w:r>
        <w:rPr>
          <w:noProof/>
        </w:rPr>
        <mc:AlternateContent>
          <mc:Choice Requires="wps">
            <w:drawing>
              <wp:anchor distT="0" distB="0" distL="114300" distR="114300" simplePos="0" relativeHeight="251675648" behindDoc="0" locked="0" layoutInCell="1" allowOverlap="1" wp14:anchorId="39EFDF94" wp14:editId="4260F639">
                <wp:simplePos x="0" y="0"/>
                <wp:positionH relativeFrom="column">
                  <wp:posOffset>3403600</wp:posOffset>
                </wp:positionH>
                <wp:positionV relativeFrom="paragraph">
                  <wp:posOffset>1017270</wp:posOffset>
                </wp:positionV>
                <wp:extent cx="2576195" cy="266700"/>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2576195" cy="266700"/>
                        </a:xfrm>
                        <a:prstGeom prst="rect">
                          <a:avLst/>
                        </a:prstGeom>
                        <a:solidFill>
                          <a:prstClr val="white"/>
                        </a:solidFill>
                        <a:ln>
                          <a:noFill/>
                        </a:ln>
                      </wps:spPr>
                      <wps:txbx>
                        <w:txbxContent>
                          <w:p w:rsidR="00376AA2" w:rsidRDefault="00376AA2" w:rsidP="00376AA2">
                            <w:pPr>
                              <w:pStyle w:val="Bijschrift"/>
                              <w:jc w:val="right"/>
                              <w:rPr>
                                <w:noProof/>
                              </w:rPr>
                            </w:pPr>
                            <w:r>
                              <w:t>Tabel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FDF94" id="Tekstvak 5" o:spid="_x0000_s1028" type="#_x0000_t202" style="position:absolute;margin-left:268pt;margin-top:80.1pt;width:202.8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" stroked="f">
                <v:textbox inset="0,0,0,0">
                  <w:txbxContent>
                    <w:p w:rsidR="00376AA2" w:rsidRDefault="00376AA2" w:rsidP="00376AA2">
                      <w:pPr>
                        <w:pStyle w:val="Bijschrift"/>
                        <w:jc w:val="right"/>
                        <w:rPr>
                          <w:noProof/>
                        </w:rPr>
                      </w:pPr>
                      <w:r>
                        <w:t>Tabel 3</w:t>
                      </w:r>
                    </w:p>
                  </w:txbxContent>
                </v:textbox>
                <w10:wrap type="square"/>
              </v:shape>
            </w:pict>
          </mc:Fallback>
        </mc:AlternateContent>
      </w:r>
      <w:r w:rsidR="00F50FCA">
        <w:br w:type="page"/>
      </w:r>
    </w:p>
    <w:p w:rsidR="0013369B" w:rsidRDefault="0013369B" w:rsidP="00FB5DEB"/>
    <w:p w:rsidR="00E97AF9" w:rsidRDefault="006A188C" w:rsidP="00EC735C">
      <w:pPr>
        <w:pStyle w:val="Kop1"/>
      </w:pPr>
      <w:r>
        <w:t>Installatierelaties</w:t>
      </w:r>
    </w:p>
    <w:p w:rsidR="00593AD2" w:rsidRPr="002F258C" w:rsidRDefault="006A188C">
      <w:r>
        <w:t xml:space="preserve">Een installatie register staat natuurlijk niet op zich. Daarom is inzicht nodig aan welke andere onderwerpen </w:t>
      </w:r>
      <w:r w:rsidR="00593AD2">
        <w:t xml:space="preserve">–en de mate waarin- </w:t>
      </w:r>
      <w:r>
        <w:t xml:space="preserve">het register gekoppeld moet zijn. </w:t>
      </w:r>
      <w:r w:rsidR="00593AD2">
        <w:t xml:space="preserve">Onderstaande tabel biedt dit inzicht en is gerangschikt volgens de pareto analyse. </w:t>
      </w:r>
      <w:r w:rsidR="002F258C" w:rsidRPr="002F258C">
        <w:t xml:space="preserve">Bestudering </w:t>
      </w:r>
      <w:r w:rsidR="002F258C">
        <w:t xml:space="preserve">van de gerelateerde  informatiebehoeften moet in principe </w:t>
      </w:r>
      <w:r w:rsidR="00FA3109">
        <w:t xml:space="preserve">richting geven aan de vraag of een koppeling zinvol is en hoe </w:t>
      </w:r>
      <w:r w:rsidR="002F258C">
        <w:t>zo</w:t>
      </w:r>
      <w:r w:rsidR="001C06F2">
        <w:t>’</w:t>
      </w:r>
      <w:r w:rsidR="002F258C">
        <w:t>n relatie er uit zou moeten zien</w:t>
      </w:r>
      <w:r w:rsidR="00FA3109">
        <w:t>. Tijd en Locatie en energie relaties zijn dan belangrijke ingrediënten voor het te maken ontwerp</w:t>
      </w:r>
      <w:r w:rsidR="002F258C" w:rsidRPr="002F258C">
        <w:t>.</w:t>
      </w:r>
    </w:p>
    <w:p w:rsidR="00FA3109" w:rsidRDefault="00593AD2">
      <w:r w:rsidRPr="00593AD2">
        <w:rPr>
          <w:noProof/>
          <w:lang w:eastAsia="nl-NL"/>
        </w:rPr>
        <w:drawing>
          <wp:anchor distT="0" distB="0" distL="114300" distR="114300" simplePos="0" relativeHeight="251671552" behindDoc="0" locked="0" layoutInCell="1" allowOverlap="1">
            <wp:simplePos x="0" y="0"/>
            <wp:positionH relativeFrom="column">
              <wp:posOffset>2183765</wp:posOffset>
            </wp:positionH>
            <wp:positionV relativeFrom="paragraph">
              <wp:posOffset>43815</wp:posOffset>
            </wp:positionV>
            <wp:extent cx="3751580" cy="3977640"/>
            <wp:effectExtent l="0" t="0" r="1270" b="381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580"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3AD2">
        <w:rPr>
          <w:b/>
          <w:i/>
        </w:rPr>
        <w:t>Note1</w:t>
      </w:r>
      <w:r w:rsidR="001C06F2">
        <w:rPr>
          <w:b/>
          <w:i/>
        </w:rPr>
        <w:t>:</w:t>
      </w:r>
      <w:r w:rsidRPr="00593AD2">
        <w:rPr>
          <w:b/>
          <w:i/>
        </w:rPr>
        <w:t xml:space="preserve"> </w:t>
      </w:r>
      <w:r>
        <w:rPr>
          <w:i/>
        </w:rPr>
        <w:t xml:space="preserve">Natuurlijk is het net als voor tabel 1 eenvoudige mogelijk de geïdentificeerde informatiebehoeften </w:t>
      </w:r>
      <w:r w:rsidRPr="00593AD2">
        <w:rPr>
          <w:i/>
        </w:rPr>
        <w:t>te rubriceren volgens deze tabel. Een voorbeeld van bv een relatie van de BAG met INSTALLATIES is bijvoorbeeld: “TJ Houtkachels woningen hernieuwbare warmte per jaar” uit het Gelders Energieakkoord.</w:t>
      </w:r>
      <w:r>
        <w:t xml:space="preserve"> </w:t>
      </w:r>
    </w:p>
    <w:p w:rsidR="006A188C" w:rsidRDefault="00FA3109">
      <w:r w:rsidRPr="001C06F2">
        <w:rPr>
          <w:b/>
        </w:rPr>
        <w:t>Note2</w:t>
      </w:r>
      <w:r w:rsidR="001C06F2" w:rsidRPr="001C06F2">
        <w:rPr>
          <w:b/>
        </w:rPr>
        <w:t>:</w:t>
      </w:r>
      <w:r>
        <w:t xml:space="preserve"> Met name de in de informatiebehoefte aanwezige deta</w:t>
      </w:r>
      <w:r w:rsidR="001C06F2">
        <w:t>i</w:t>
      </w:r>
      <w:r>
        <w:t xml:space="preserve">l nivo zal bijdragen aan het ontwerp van de koppeling </w:t>
      </w:r>
      <w:r>
        <w:rPr>
          <w:b/>
          <w:i/>
        </w:rPr>
        <w:t xml:space="preserve"> </w:t>
      </w:r>
    </w:p>
    <w:p w:rsidR="00FA3109" w:rsidRDefault="00FA3109"/>
    <w:p w:rsidR="00FA3109" w:rsidRDefault="00FA3109"/>
    <w:p w:rsidR="00FA3109" w:rsidRDefault="00FA3109"/>
    <w:p w:rsidR="00FA3109" w:rsidRDefault="00FA3109"/>
    <w:p w:rsidR="00376AA2" w:rsidRDefault="00376AA2">
      <w:bookmarkStart w:id="0" w:name="_GoBack"/>
      <w:bookmarkEnd w:id="0"/>
      <w:r>
        <w:rPr>
          <w:noProof/>
        </w:rPr>
        <mc:AlternateContent>
          <mc:Choice Requires="wps">
            <w:drawing>
              <wp:anchor distT="0" distB="0" distL="114300" distR="114300" simplePos="0" relativeHeight="251677696" behindDoc="0" locked="0" layoutInCell="1" allowOverlap="1" wp14:anchorId="781A34FC" wp14:editId="206F9B17">
                <wp:simplePos x="0" y="0"/>
                <wp:positionH relativeFrom="column">
                  <wp:posOffset>2237740</wp:posOffset>
                </wp:positionH>
                <wp:positionV relativeFrom="paragraph">
                  <wp:posOffset>72390</wp:posOffset>
                </wp:positionV>
                <wp:extent cx="3657600" cy="289560"/>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3657600" cy="289560"/>
                        </a:xfrm>
                        <a:prstGeom prst="rect">
                          <a:avLst/>
                        </a:prstGeom>
                        <a:solidFill>
                          <a:prstClr val="white"/>
                        </a:solidFill>
                        <a:ln>
                          <a:noFill/>
                        </a:ln>
                      </wps:spPr>
                      <wps:txbx>
                        <w:txbxContent>
                          <w:p w:rsidR="00376AA2" w:rsidRDefault="00376AA2" w:rsidP="00376AA2">
                            <w:pPr>
                              <w:pStyle w:val="Bijschrift"/>
                              <w:jc w:val="right"/>
                              <w:rPr>
                                <w:noProof/>
                              </w:rPr>
                            </w:pPr>
                            <w:r>
                              <w:t>Tabel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A34FC" id="Tekstvak 6" o:spid="_x0000_s1029" type="#_x0000_t202" style="position:absolute;margin-left:176.2pt;margin-top:5.7pt;width:4in;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" stroked="f">
                <v:textbox inset="0,0,0,0">
                  <w:txbxContent>
                    <w:p w:rsidR="00376AA2" w:rsidRDefault="00376AA2" w:rsidP="00376AA2">
                      <w:pPr>
                        <w:pStyle w:val="Bijschrift"/>
                        <w:jc w:val="right"/>
                        <w:rPr>
                          <w:noProof/>
                        </w:rPr>
                      </w:pPr>
                      <w:r>
                        <w:t>Tabel 4</w:t>
                      </w:r>
                    </w:p>
                  </w:txbxContent>
                </v:textbox>
                <w10:wrap type="square"/>
              </v:shape>
            </w:pict>
          </mc:Fallback>
        </mc:AlternateContent>
      </w:r>
    </w:p>
    <w:p w:rsidR="00FA3109" w:rsidRDefault="00FA3109"/>
    <w:p w:rsidR="00FA3109" w:rsidRDefault="00FA3109" w:rsidP="005E0855">
      <w:pPr>
        <w:pStyle w:val="Kop1"/>
      </w:pPr>
      <w:r>
        <w:t xml:space="preserve">Aandachtspunten </w:t>
      </w:r>
      <w:r w:rsidR="00CF099C">
        <w:t>ter bespreking</w:t>
      </w:r>
    </w:p>
    <w:p w:rsidR="00CF099C" w:rsidRDefault="001C06F2" w:rsidP="001C06F2">
      <w:pPr>
        <w:pStyle w:val="Lijstalinea"/>
        <w:numPr>
          <w:ilvl w:val="0"/>
          <w:numId w:val="21"/>
        </w:numPr>
        <w:ind w:left="426"/>
      </w:pPr>
      <w:r w:rsidRPr="00F77BEB">
        <w:rPr>
          <w:noProof/>
          <w:u w:val="single"/>
          <w:lang w:eastAsia="nl-NL"/>
        </w:rPr>
        <w:drawing>
          <wp:anchor distT="0" distB="0" distL="114300" distR="114300" simplePos="0" relativeHeight="251673600" behindDoc="1" locked="0" layoutInCell="1" allowOverlap="1" wp14:anchorId="6CEC1B68" wp14:editId="38E443B7">
            <wp:simplePos x="0" y="0"/>
            <wp:positionH relativeFrom="column">
              <wp:posOffset>4206875</wp:posOffset>
            </wp:positionH>
            <wp:positionV relativeFrom="paragraph">
              <wp:posOffset>83820</wp:posOffset>
            </wp:positionV>
            <wp:extent cx="1731645" cy="977265"/>
            <wp:effectExtent l="0" t="0" r="1905" b="0"/>
            <wp:wrapTight wrapText="bothSides">
              <wp:wrapPolygon edited="0">
                <wp:start x="0" y="0"/>
                <wp:lineTo x="0" y="21053"/>
                <wp:lineTo x="15683" y="21053"/>
                <wp:lineTo x="21386" y="20632"/>
                <wp:lineTo x="2138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164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Hoewel we hier inzoomen op installaties is het m.i verstandig om ook de gerelateerde vragen voor Consumptie en </w:t>
      </w:r>
      <w:r w:rsidR="00CF099C">
        <w:t>Productie</w:t>
      </w:r>
      <w:r>
        <w:t xml:space="preserve"> te bestuderen. </w:t>
      </w:r>
      <w:r w:rsidR="00CF099C">
        <w:t xml:space="preserve">Reden hiervoor is dat informatiebehoeften over verbruik en opwek niet altijd ook een installatie term bevatten maar wel een installatie nodig hebben om dit verbruik of opwek te genereren. De hier genoemde meetwaarden kunnen dus ook relevant zijn voor wat je op of van een installatie zou willen bijhouden. </w:t>
      </w:r>
    </w:p>
    <w:p w:rsidR="00CF099C" w:rsidRDefault="00FA3109" w:rsidP="00CF099C">
      <w:pPr>
        <w:pStyle w:val="Lijstalinea"/>
        <w:numPr>
          <w:ilvl w:val="0"/>
          <w:numId w:val="21"/>
        </w:numPr>
        <w:ind w:left="426"/>
      </w:pPr>
      <w:r>
        <w:t>De inventarisatie kan ook goed gebruikt worden in de GAP analyse (nodig/reeds aanwezig)</w:t>
      </w:r>
      <w:r w:rsidR="005E0855">
        <w:t>. Eens?</w:t>
      </w:r>
    </w:p>
    <w:p w:rsidR="005E0855" w:rsidRDefault="00CF099C" w:rsidP="00CF099C">
      <w:pPr>
        <w:pStyle w:val="Lijstalinea"/>
        <w:numPr>
          <w:ilvl w:val="0"/>
          <w:numId w:val="21"/>
        </w:numPr>
        <w:ind w:left="426"/>
      </w:pPr>
      <w:r>
        <w:t xml:space="preserve">Dit verhaal helpt m.i bij de ideevorming over het ontwerp v/e installatieregister </w:t>
      </w:r>
      <w:r>
        <w:t xml:space="preserve">en in dat licht </w:t>
      </w:r>
      <w:r w:rsidR="005E0855">
        <w:t xml:space="preserve">ben </w:t>
      </w:r>
      <w:r w:rsidR="004344C5">
        <w:t>ik -</w:t>
      </w:r>
      <w:r w:rsidR="004344C5" w:rsidRPr="004344C5">
        <w:t xml:space="preserve"> </w:t>
      </w:r>
      <w:r w:rsidR="004344C5">
        <w:t>nav dit verslag/rapport</w:t>
      </w:r>
      <w:r w:rsidR="004344C5">
        <w:t xml:space="preserve">- </w:t>
      </w:r>
      <w:r w:rsidR="005E0855">
        <w:t>heel benieuwd naar julli</w:t>
      </w:r>
      <w:r>
        <w:t xml:space="preserve">e behoeften en bevindingen </w:t>
      </w:r>
    </w:p>
    <w:p w:rsidR="0013369B" w:rsidRDefault="0013369B">
      <w:r>
        <w:br w:type="page"/>
      </w:r>
    </w:p>
    <w:p w:rsidR="005D2B4D" w:rsidRDefault="003F403A" w:rsidP="003F403A">
      <w:pPr>
        <w:pStyle w:val="Kop2"/>
      </w:pPr>
      <w:r>
        <w:lastRenderedPageBreak/>
        <w:t>Bijlage</w:t>
      </w:r>
      <w:r w:rsidR="00EE5B1D">
        <w:t xml:space="preserve"> 1</w:t>
      </w:r>
      <w:r>
        <w:t xml:space="preserve"> </w:t>
      </w:r>
      <w:r w:rsidR="00F50FCA">
        <w:t>Overzicht onderwerpen informatiebehoeften</w:t>
      </w:r>
      <w:r>
        <w:t xml:space="preserve"> </w:t>
      </w:r>
    </w:p>
    <w:p w:rsidR="000D5C5E" w:rsidRDefault="00F50FCA" w:rsidP="005D2B4D">
      <w:r w:rsidRPr="00F50FCA">
        <w:rPr>
          <w:noProof/>
          <w:lang w:eastAsia="nl-NL"/>
        </w:rPr>
        <w:drawing>
          <wp:inline distT="0" distB="0" distL="0" distR="0">
            <wp:extent cx="8760563" cy="5828383"/>
            <wp:effectExtent l="0" t="635" r="1905" b="19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8789580" cy="5847688"/>
                    </a:xfrm>
                    <a:prstGeom prst="rect">
                      <a:avLst/>
                    </a:prstGeom>
                    <a:noFill/>
                    <a:ln>
                      <a:noFill/>
                    </a:ln>
                  </pic:spPr>
                </pic:pic>
              </a:graphicData>
            </a:graphic>
          </wp:inline>
        </w:drawing>
      </w:r>
    </w:p>
    <w:p w:rsidR="000D5C5E" w:rsidRDefault="000D5C5E"/>
    <w:p w:rsidR="00EE5B1D" w:rsidRDefault="00EE5B1D" w:rsidP="00EE5B1D"/>
    <w:p w:rsidR="00EE5B1D" w:rsidRDefault="00EE5B1D" w:rsidP="00EE5B1D">
      <w:pPr>
        <w:pStyle w:val="Kop2"/>
      </w:pPr>
      <w:r>
        <w:t xml:space="preserve">Bijlage 2 geidentificeerde informatiebehoeften </w:t>
      </w:r>
      <w:r w:rsidR="00847DBC">
        <w:t>per INSTALLATIE item</w:t>
      </w:r>
    </w:p>
    <w:p w:rsidR="00EE5B1D" w:rsidRPr="00087F1D" w:rsidRDefault="00376AA2" w:rsidP="00EE5B1D">
      <w:r w:rsidRPr="00376AA2">
        <w:drawing>
          <wp:inline distT="0" distB="0" distL="0" distR="0">
            <wp:extent cx="5941060" cy="566108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5661085"/>
                    </a:xfrm>
                    <a:prstGeom prst="rect">
                      <a:avLst/>
                    </a:prstGeom>
                    <a:noFill/>
                    <a:ln>
                      <a:noFill/>
                    </a:ln>
                  </pic:spPr>
                </pic:pic>
              </a:graphicData>
            </a:graphic>
          </wp:inline>
        </w:drawing>
      </w:r>
    </w:p>
    <w:p w:rsidR="00EE5B1D" w:rsidRDefault="00EE5B1D">
      <w:pPr>
        <w:sectPr w:rsidR="00EE5B1D" w:rsidSect="00F41874">
          <w:footerReference w:type="default" r:id="rId19"/>
          <w:pgSz w:w="11907" w:h="16839" w:code="9"/>
          <w:pgMar w:top="993" w:right="1275" w:bottom="1440" w:left="1276" w:header="720" w:footer="720" w:gutter="0"/>
          <w:cols w:space="720"/>
          <w:titlePg/>
          <w:docGrid w:linePitch="299"/>
        </w:sectPr>
      </w:pPr>
      <w:r w:rsidRPr="004344C5">
        <w:rPr>
          <w:b/>
          <w:i/>
        </w:rPr>
        <w:t>Note</w:t>
      </w:r>
      <w:r w:rsidR="004344C5" w:rsidRPr="004344C5">
        <w:rPr>
          <w:b/>
          <w:i/>
        </w:rPr>
        <w:t>1</w:t>
      </w:r>
      <w:r w:rsidRPr="004344C5">
        <w:rPr>
          <w:b/>
          <w:i/>
        </w:rPr>
        <w:t>:</w:t>
      </w:r>
      <w:r>
        <w:t xml:space="preserve"> </w:t>
      </w:r>
      <w:r w:rsidR="004344C5">
        <w:rPr>
          <w:i/>
        </w:rPr>
        <w:t>Natuurlijk is het net als voor tabel 1 eenvoudige mogelijk de geïdentificeerde informatiebehoeften te rubriceren volgens deze tabel</w:t>
      </w:r>
      <w:r w:rsidR="004344C5" w:rsidRPr="00EE5B1D">
        <w:rPr>
          <w:i/>
        </w:rPr>
        <w:t>.</w:t>
      </w:r>
      <w:r w:rsidR="004344C5">
        <w:rPr>
          <w:i/>
        </w:rPr>
        <w:t xml:space="preserve"> (wil ik even aflaten hangen van de behoefte/vraag in het eerstvolgend gesprek)</w:t>
      </w:r>
    </w:p>
    <w:p w:rsidR="005E071D" w:rsidRDefault="005E071D"/>
    <w:p w:rsidR="003F403A" w:rsidRDefault="00F41874" w:rsidP="00F41874">
      <w:pPr>
        <w:pStyle w:val="Kop2"/>
      </w:pPr>
      <w:r>
        <w:t>BIJLAGE 3  Geidentificeerde Informatiebehoeften PER INSTALLATIE item (installaties, PIR, Ketels etc</w:t>
      </w:r>
      <w:r w:rsidR="00FB6B6B">
        <w:t>)</w:t>
      </w:r>
      <w:r>
        <w:t>.</w:t>
      </w:r>
    </w:p>
    <w:p w:rsidR="00F41874" w:rsidRDefault="00F41874" w:rsidP="00F41874"/>
    <w:tbl>
      <w:tblPr>
        <w:tblW w:w="20979" w:type="dxa"/>
        <w:tblLayout w:type="fixed"/>
        <w:tblCellMar>
          <w:left w:w="70" w:type="dxa"/>
          <w:right w:w="70" w:type="dxa"/>
        </w:tblCellMar>
        <w:tblLook w:val="04A0" w:firstRow="1" w:lastRow="0" w:firstColumn="1" w:lastColumn="0" w:noHBand="0" w:noVBand="1"/>
      </w:tblPr>
      <w:tblGrid>
        <w:gridCol w:w="1490"/>
        <w:gridCol w:w="3188"/>
        <w:gridCol w:w="4670"/>
        <w:gridCol w:w="696"/>
        <w:gridCol w:w="10935"/>
      </w:tblGrid>
      <w:tr w:rsidR="00F41874" w:rsidRPr="005E071D" w:rsidTr="00F41874">
        <w:trPr>
          <w:trHeight w:val="288"/>
        </w:trPr>
        <w:tc>
          <w:tcPr>
            <w:tcW w:w="1490" w:type="dxa"/>
            <w:tcBorders>
              <w:top w:val="single" w:sz="8" w:space="0" w:color="000000"/>
              <w:left w:val="nil"/>
              <w:bottom w:val="single" w:sz="8" w:space="0" w:color="000000"/>
              <w:right w:val="nil"/>
            </w:tcBorders>
            <w:shd w:val="clear" w:color="5B9BD5" w:fill="5B9BD5"/>
            <w:hideMark/>
          </w:tcPr>
          <w:p w:rsidR="00F41874" w:rsidRPr="005E071D" w:rsidRDefault="00F41874" w:rsidP="00F41874">
            <w:pPr>
              <w:spacing w:before="0" w:after="0" w:line="240" w:lineRule="auto"/>
              <w:rPr>
                <w:rFonts w:ascii="Calibri" w:eastAsia="Times New Roman" w:hAnsi="Calibri" w:cs="Calibri"/>
                <w:b/>
                <w:bCs/>
                <w:color w:val="FFFFFF"/>
                <w:sz w:val="20"/>
                <w:szCs w:val="20"/>
                <w:lang w:eastAsia="nl-NL"/>
              </w:rPr>
            </w:pPr>
            <w:r w:rsidRPr="005E071D">
              <w:rPr>
                <w:rFonts w:ascii="Calibri" w:eastAsia="Times New Roman" w:hAnsi="Calibri" w:cs="Calibri"/>
                <w:b/>
                <w:bCs/>
                <w:color w:val="FFFFFF"/>
                <w:sz w:val="20"/>
                <w:szCs w:val="20"/>
                <w:lang w:eastAsia="nl-NL"/>
              </w:rPr>
              <w:t>INSTALLATIES</w:t>
            </w:r>
          </w:p>
        </w:tc>
        <w:tc>
          <w:tcPr>
            <w:tcW w:w="3188" w:type="dxa"/>
            <w:tcBorders>
              <w:top w:val="single" w:sz="8" w:space="0" w:color="000000"/>
              <w:left w:val="nil"/>
              <w:bottom w:val="single" w:sz="8" w:space="0" w:color="000000"/>
              <w:right w:val="nil"/>
            </w:tcBorders>
            <w:shd w:val="clear" w:color="5B9BD5" w:fill="5B9BD5"/>
            <w:hideMark/>
          </w:tcPr>
          <w:p w:rsidR="00F41874" w:rsidRPr="005E071D" w:rsidRDefault="00F41874" w:rsidP="00F41874">
            <w:pPr>
              <w:spacing w:before="0" w:after="0" w:line="240" w:lineRule="auto"/>
              <w:rPr>
                <w:rFonts w:ascii="Calibri" w:eastAsia="Times New Roman" w:hAnsi="Calibri" w:cs="Calibri"/>
                <w:b/>
                <w:bCs/>
                <w:color w:val="FFFFFF"/>
                <w:sz w:val="20"/>
                <w:szCs w:val="20"/>
                <w:lang w:eastAsia="nl-NL"/>
              </w:rPr>
            </w:pPr>
            <w:r w:rsidRPr="005E071D">
              <w:rPr>
                <w:rFonts w:ascii="Calibri" w:eastAsia="Times New Roman" w:hAnsi="Calibri" w:cs="Calibri"/>
                <w:b/>
                <w:bCs/>
                <w:color w:val="FFFFFF"/>
                <w:sz w:val="20"/>
                <w:szCs w:val="20"/>
                <w:lang w:eastAsia="nl-NL"/>
              </w:rPr>
              <w:t>Investerings plannen RNB's</w:t>
            </w:r>
          </w:p>
        </w:tc>
        <w:tc>
          <w:tcPr>
            <w:tcW w:w="4670" w:type="dxa"/>
            <w:tcBorders>
              <w:top w:val="single" w:sz="8" w:space="0" w:color="000000"/>
              <w:left w:val="nil"/>
              <w:bottom w:val="single" w:sz="8" w:space="0" w:color="000000"/>
              <w:right w:val="nil"/>
            </w:tcBorders>
            <w:shd w:val="clear" w:color="5B9BD5" w:fill="5B9BD5"/>
            <w:hideMark/>
          </w:tcPr>
          <w:p w:rsidR="00F41874" w:rsidRPr="005E071D" w:rsidRDefault="00F41874" w:rsidP="00F41874">
            <w:pPr>
              <w:spacing w:before="0" w:after="0" w:line="240" w:lineRule="auto"/>
              <w:rPr>
                <w:rFonts w:ascii="Calibri" w:eastAsia="Times New Roman" w:hAnsi="Calibri" w:cs="Calibri"/>
                <w:b/>
                <w:bCs/>
                <w:color w:val="FFFFFF"/>
                <w:sz w:val="20"/>
                <w:szCs w:val="20"/>
                <w:lang w:eastAsia="nl-NL"/>
              </w:rPr>
            </w:pPr>
            <w:r w:rsidRPr="005E071D">
              <w:rPr>
                <w:rFonts w:ascii="Calibri" w:eastAsia="Times New Roman" w:hAnsi="Calibri" w:cs="Calibri"/>
                <w:b/>
                <w:bCs/>
                <w:color w:val="FFFFFF"/>
                <w:sz w:val="20"/>
                <w:szCs w:val="20"/>
                <w:lang w:eastAsia="nl-NL"/>
              </w:rPr>
              <w:t>BronDocument</w:t>
            </w:r>
          </w:p>
        </w:tc>
        <w:tc>
          <w:tcPr>
            <w:tcW w:w="696" w:type="dxa"/>
            <w:tcBorders>
              <w:top w:val="single" w:sz="8" w:space="0" w:color="000000"/>
              <w:left w:val="nil"/>
              <w:bottom w:val="single" w:sz="8" w:space="0" w:color="000000"/>
              <w:right w:val="nil"/>
            </w:tcBorders>
            <w:shd w:val="clear" w:color="5B9BD5" w:fill="5B9BD5"/>
            <w:hideMark/>
          </w:tcPr>
          <w:p w:rsidR="00F41874" w:rsidRPr="005E071D" w:rsidRDefault="00F41874" w:rsidP="00F41874">
            <w:pPr>
              <w:spacing w:before="0" w:after="0" w:line="240" w:lineRule="auto"/>
              <w:rPr>
                <w:rFonts w:ascii="Calibri" w:eastAsia="Times New Roman" w:hAnsi="Calibri" w:cs="Calibri"/>
                <w:b/>
                <w:bCs/>
                <w:color w:val="FFFFFF"/>
                <w:sz w:val="20"/>
                <w:szCs w:val="20"/>
                <w:lang w:eastAsia="nl-NL"/>
              </w:rPr>
            </w:pPr>
            <w:r w:rsidRPr="005E071D">
              <w:rPr>
                <w:rFonts w:ascii="Calibri" w:eastAsia="Times New Roman" w:hAnsi="Calibri" w:cs="Calibri"/>
                <w:b/>
                <w:bCs/>
                <w:color w:val="FFFFFF"/>
                <w:sz w:val="20"/>
                <w:szCs w:val="20"/>
                <w:lang w:eastAsia="nl-NL"/>
              </w:rPr>
              <w:t>Pagina</w:t>
            </w:r>
          </w:p>
        </w:tc>
        <w:tc>
          <w:tcPr>
            <w:tcW w:w="10935" w:type="dxa"/>
            <w:tcBorders>
              <w:top w:val="single" w:sz="8" w:space="0" w:color="000000"/>
              <w:left w:val="nil"/>
              <w:bottom w:val="single" w:sz="8" w:space="0" w:color="000000"/>
              <w:right w:val="nil"/>
            </w:tcBorders>
            <w:shd w:val="clear" w:color="5B9BD5" w:fill="5B9BD5"/>
            <w:hideMark/>
          </w:tcPr>
          <w:p w:rsidR="00F41874" w:rsidRPr="005E071D" w:rsidRDefault="00F41874" w:rsidP="00F41874">
            <w:pPr>
              <w:spacing w:before="0" w:after="0" w:line="240" w:lineRule="auto"/>
              <w:rPr>
                <w:rFonts w:ascii="Calibri" w:eastAsia="Times New Roman" w:hAnsi="Calibri" w:cs="Calibri"/>
                <w:b/>
                <w:bCs/>
                <w:color w:val="FFFFFF"/>
                <w:sz w:val="20"/>
                <w:szCs w:val="20"/>
                <w:lang w:eastAsia="nl-NL"/>
              </w:rPr>
            </w:pPr>
            <w:r>
              <w:rPr>
                <w:rFonts w:ascii="Calibri" w:eastAsia="Times New Roman" w:hAnsi="Calibri" w:cs="Calibri"/>
                <w:b/>
                <w:bCs/>
                <w:color w:val="FFFFFF"/>
                <w:sz w:val="20"/>
                <w:szCs w:val="20"/>
                <w:lang w:eastAsia="nl-NL"/>
              </w:rPr>
              <w:t>Geï</w:t>
            </w:r>
            <w:r w:rsidRPr="005E071D">
              <w:rPr>
                <w:rFonts w:ascii="Calibri" w:eastAsia="Times New Roman" w:hAnsi="Calibri" w:cs="Calibri"/>
                <w:b/>
                <w:bCs/>
                <w:color w:val="FFFFFF"/>
                <w:sz w:val="20"/>
                <w:szCs w:val="20"/>
                <w:lang w:eastAsia="nl-NL"/>
              </w:rPr>
              <w:t>dentificeerde informatiebehoefte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Gebouwen/Installaties uitgesplitst naar 4 Scenario's/Maatschappijbeelden (Regionaal, Nationaal, Internationaal en generiek)</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Huidige kosten energievoorziening  Gebouwen/Installaties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Energiesysteemkosten (Miljard € per jaar) per 2050 per scenario voor Gebouwen/Installaties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Gebouwen/Installaties uitgesplitst naar 4 Scenario's/Maatschappijbeelden (Regionaal, Nationaal, Internationaal en generiek)</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Huidige kosten energievoorziening  Gebouwen/Installaties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installaties geothemie per RES-Regio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installaties geothemie per RES-Regio per 2040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Rendement warm tapwatervoorziening: Rendement van de warmte-installatie om warm tapwater te produceren % per 2019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Rendement warm tapwatervoorziening: Rendement van de warmte-installatie om warm tapwater te produceren. % per 2030 per BAG ID of Adres van het object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Rendement ruimteverwarming: Rendement van de warmte-installatie om ruimteverwarming te produceren. % per 2019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Rendement ruimteverwarming: Rendement van de warmte-installatie om ruimteverwarming te produceren % per 2030 per BAG ID of Adres van het object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Productie van elektriciteit door zon en wind installaties in PJ per jaar (peiljaar 2020) in Noord-Holland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onderverdeelinstallaties met capaciteitsknelpunt (huidig totaal aantal is ca. 200) 2030 per scenario  in noord-holland</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onderverdeelinstallaties met capaciteitsknelpunt (huidig totaal aantal is ca. 200) 2050 per scenario in noord-holland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Capaciteitsknelpunten elektriciteitsnet: Capaciteitsbelemmeringen kabels transformatoren /uitbreiding installaties 2020, 2030 en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Vermogen (in MW) per verbruiksgroep schiphol: elektrisch verbruik services airside (equipment/installaties airside) voor scenario hoog voor 2017, 2020, 2030, 2035; 2040</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Aan te houden afstand (in m.)voor Externe veiligheid tot eenTransformatorstation (is een installatie) (&lt;10MVA;10-100MVA;100-200MVA;200-1000MVA; &gt;1000MVA) </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Aan te houden afstand (in m.) voor geluid tot eenTransformatorstation (is een installatie) (&lt;10MVA;10-100MVA;100-200MVA;200-1000MVA; &gt;1000MVA)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Aan te houden afstand (in m.) voor lucht/geur tot eenTransformatorstation (is een installatie) (&lt;10MVA;10-100MVA;100-200MVA;200-1000MVA; &gt;1000MVA) </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Aan te houden afstand (in m.) voor Elektromagnetisch veld tot eenTransformatorstation (is een installatie) (&lt;10MVA;10-100MVA;100-200MVA;200-1000MVA; &gt;1000MVA)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Aan te houden afstand (in m.) voor een gezoneerd industrieterrein tot eenTransformatorstation (is een installatie) (&lt;10MVA;10-100MVA;100-200MVA;200-1000MVA; &gt;1000MVA)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schilgegevens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Elektriciteit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Gas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Warmte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kvb, Elektriciteit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kvb, Gas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kvb, Warmte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gvb, Elektriciteit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gvb,Gas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aansluiting gvb, Warmte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bestaande energiedrager(s)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geinstalleerde warmtetechnologie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uitgevoerde maatregelen: Isolatie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uitgevoerde maatregelen: zonPV</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eigendomssituatie; part., huur door part. groot/klein, sociale huur, overig</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Installaties (incl schileigenschappen) : op pand/BAG niveau: eigendomssituatie; part., vve, woco, overig </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bouwkundige informatie; geometrie, tekeningen, modellen (BIM info)</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bouwkundige informatie; isolatiewaarde en schil</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label gegvens - Energieprestatieadvies gegegevens woningen (epa-w)</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label gegvens - Energieprestatieadvies gegegevens utiliteit (epa-u)</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type woning flat, rijtjeshuis, vrijstaand, 2-onder-1 dak, etc.)</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segment (kantoor, winkel, woning, bedrijf)</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eigenschappen warmteinstallaties: capaciteit, leeftijd en type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vermogen bestaande W-bronnen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locatie bestaande W-bronnen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ondergrond informatie</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oplaadinstallaties met een verlaagde tarief in de energiebelasting met een zelfstandige aansluiting</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per HE-installatie in diverse aspecten als eigendom, ouderdom, staat van onderhoud, vervangingsmoment, opbrengst enz. Vergelijkbaar met registratie en APK auto’s, registratiesysteem voor HE-installaties</w:t>
            </w:r>
            <w:r w:rsidRPr="005E071D">
              <w:rPr>
                <w:rFonts w:ascii="Calibri" w:eastAsia="Times New Roman" w:hAnsi="Calibri" w:cs="Calibri"/>
                <w:color w:val="000000"/>
                <w:sz w:val="20"/>
                <w:szCs w:val="20"/>
                <w:lang w:eastAsia="nl-NL"/>
              </w:rPr>
              <w:br/>
              <w:t xml:space="preserve"> (Gap/Wettelijke belemmeringen)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01 - mei - 2018 De locatie van stations, MS aansluitingen en MS kabels groter dan 240 AL. Bij de stations graag aangeven of het hier om een 20 kV of 10 kV installatie gaat.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Ruimtelijke Restrictie Gebieden: Wijk ruimte voor wijk-warmte installatie en trafo huisjes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Biobrandstof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Biogas productie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Aardwarmte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Restwarmte AVI</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Restwarmte Industrie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Power2Heat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Zonnewarmte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HTO opslag</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GebouwOpslag</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Ligging, Energie Vraag en Besparing: Glastuinbouw: Type Installatie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Ligging, Energie Vraag en Besparing: Woningen: Type Installatie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Ligging, Energie Vraag en Besparing: U-bouw: Type Installatie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Ligging, Energie Vraag en Besparing: Industrie: Installaties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Ligging, Energie Vraag en Besparing: Veeteelt: Type Installatie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Asbest in bovengrondse installaties: Veiligheid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Falen 50 kV COQ-installaties: Kwaliteit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Onvoldoende en beperkt afgeschermde installaties RMU: Veiligheid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Kwaliteit componenten: Onderstations Aantal Middenspanningsinstallaties in 2017</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van “onvoldoende en beperkt afgeschermde" middenspanningsinstallaties (Ring Main Units - RMU’s)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Hoogte van piekvraag naar elektriciteit bij door energietransitie veranderende energievraag  voor het laden van het toegenomen aantal elektrische auto’s, kookinstallaties et cetera</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Impact van bijmengen van waterstof in aardgas op gastoestellen in de gebouwde omgeving</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Benodigde bron, infrastructuur, decentrale opwek, gebouwinstallatie en gebouwaanpassingen per warmte-oplossing (all-electric, 40 graden warmtenet, 70 graden warmtenet, 90 graden warmtenet, bestaand gasnet of biomassa)</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biomassa installaties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groen gas vergisters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onderhoud biomassa installaties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Investeringen biomassa installaties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Kosten onderhoud biomassa installaties (jaarlijks)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Usecases Cerise project (TKI Onderzoeksproject TNO, Alliander, Geonovum, Geodan, TU-Delft)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Locatie/ligging van een energiepuntLocatie/ligging van opwekinstallaties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Afvalverbrandingsinstallatie hern. elektriciteit (tier 1)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Afvalverbrandingsinstallatie hernieuwbare warmte per jaar (tier 1)</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Warmtebron(installatie) en -leverancier per warmteproject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naar huidige 2050 prijzen Jaarlijkse kosten energievoorziening Gebouwen/Installaties naar huidige 2050 prijzen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naar huidige 2050 prijzen Jaarlijkse kosten energievoorziening Gebouwen/Installaties naar huidige 2050 prijzen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WKO open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WKO gesloten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industrie locatie en eigenschappen capaciteit, leeftijd en type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landbouw locatie en eigenschappen capaciteit, leeftijd en type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utiliteit locatie en eigenschappen capaciteit, leeftijd en type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Biogas WKK</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WKK installaties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huidig geinstalleerde WP'en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LT WP installaties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HT industriele WP installaties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tank- en laadinfra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(Seizoens)opslag: Ecovat, Vanadium Redox batterij, Power Walls enz. Potentie, bestaande installaties, achtergrondinfo Warmte, elektra, H2, andere energiedragers? Uitwisseling met buitenland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Technologische ontwikkeling van duurzame installaties en producten. Denk hierbij aan ontwikkelingen op het gebied van (hybride) warmtepompen en opslag in de vorm van een (warmte)batterij.</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Installaties (incl schileigenschappen) : bestaande Windparken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windturbines per regio per jaar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bestaande Zonneparken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Verwachte vervangingsmomenten dak/CV en andere relevante onderdelen van gebouwen (Gap/Deels beschikbaar)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aantal spanningsklachten (terecht en onterechte en tgv van PV-installaties (zonnepanelen) in 2013,2014,2015,2016)</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verwachte aantal spanningsklachten (terecht en onterechte en tgv van PV-installaties (zonnepanelen) in 2018-2020)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zonnepanelen per regio per jaar</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warm tapwater: Dit is de geschatte hoeveelheid energie die de warmte-installatie gebruikt om warm tapwater op te wekken. In het geval van een CV-ketel gaat het dus om de gevraagde hoeveelheid gas aan de meter voor de warm tapwatervoorziening.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warm tapwater: Dit is de geschatte hoeveelheid energie die de warmte-installatie gebruikt om warm tapwater op te wekken. In het geval van een CV-ketel gaat het dus om de gevraagde hoeveelheid gas aan de meter voor de warm tapwatervoorziening. GJ per Jaar 2030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ruimteverwarming: Dit is de geschatte hoeveelheid energie die de warmte-installatie gebruikt om aan de vraag naar ruimteverwarming te voldoen. In het geval van een CV-ketel gaat het dus om de gevraagde hoeveelheid gas aan de meter voor ruimteverwarming.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ruimteverwarming: Dit is de geschatte hoeveelheid energie die de warmte-installatie gebruikt om aan de vraag naar ruimteverwarming te voldoen. In het geval van een CV-ketel gaat het dus om de gevraagde hoeveelheid gas aan de meter voor ruimteverwarming.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Vermogen van huidige warmte installatie: Bijvoorbeeld het vermogen van de CV-ketel in 2019 of 2030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collectieve ketels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huidig geinstalleerde HR-ketels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uitgevoerde maatregelen: /HR++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Biomassa ketels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Stookolie ketels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Propaan/Butaan ketels</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Bio/Pellet/Hout ketels&amp;kachels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05 - apr - 2018 Gegevens over de hoeveelheid en het gemiddelde kWpeak vermogen van zonnepaneelinstallaties, de zogenaamde PIR-lijst.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05 - apr - 2018 Gegevens over de hoeveelheid en het gemiddelde kWpeak vermogen van zonnepaneelinstallaties, de zogenaamde PIR-lijst.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05 - dec - 2017 PIR-data,opgewekte energie per Postcode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03 - okt - 2018 PIR-data, update beschikbaar?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05 - sep - 2017 PIR-data,kunnen we PIR als open data publiceren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05 - apr - 2018 PIR-data,teruggeleverde vermogens per uur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PIR</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warm tapwater: Dit is de geschatte hoeveelheid energie die de warmte-installatie gebruikt om warm tapwater op te wekken. In het geval van een CV-ketel gaat het dus om de gevraagde hoeveelheid gas aan de meter voor de warm tapwatervoorziening. GJ per Jaar 2019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warm tapwater: Dit is de geschatte hoeveelheid energie die de warmte-installatie gebruikt om warm tapwater op te wekken. In het geval van een CV-ketel gaat het dus om de gevraagde hoeveelheid gas aan de meter voor de warm tapwatervoorziening. GJ per Jaar 2030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ruimteverwarming: Dit is de geschatte hoeveelheid energie die de warmte-installatie gebruikt om aan de vraag naar ruimteverwarming te voldoen. In het geval van een CV-ketel gaat het dus om de gevraagde hoeveelheid gas aan de meter voor ruimteverwarming.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Warmtevraag voor ruimteverwarming: Dit is de geschatte hoeveelheid energie die de warmte-installatie gebruikt om aan de vraag naar ruimteverwarming te voldoen. In het geval van een CV-ketel gaat het dus om de gevraagde hoeveelheid gas aan de meter voor ruimteverwarming.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Vermogen van huidige warmte installatie: Bijvoorbeeld het vermogen van de CV-ketel in 2019 of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collectieve ketels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huidig geinstalleerde HR-ketels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uitgevoerde maatregelen: /HR++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Biomassa ketels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Stookolie ketels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Propaan/Butaan ketels</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Bio/Pellet/Hout ketels&amp;kachels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HR-Ketels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HR-Ketels (groenqas)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HR-Ketel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CV-Ketel(vaste biomassa)</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HR-Ketels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HR-Ketels (groenqas)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HR-Ketel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CV-Ketel(vaste biomassa)</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HR-Ketels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HR-Ketels (groenqas)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HR-Ketel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CV-Ketel(vaste biomassa)</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Gebouwverwarming/Waterstofketels per RES-Regio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CV-Ketel aanwezig Ja/Nee in 2019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CV-Ketel aanwezig Ja/Nee in 2030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Biomassaketels bedrijven hern. warmte per jaar (tier 1)</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pompenergie: Schat hier de benodigde hoeveelheid elektriciteit in om de warmte rond te pompen binnen een gebouw (bij bijvoorbeeld een CV-ketel of een warmtepomp) GJ per Jaar 2019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pompenergie: Schat hier de benodigde hoeveelheid elektriciteit in om de warmte rond te pompen binnen een gebouw (bij bijvoorbeeld een CV-ketel of een warmtepomp) GJ Per jaar 2030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Ketels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aanwezigheid en opbrengst houtkachels en -ketels in woningen (Gap)</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Ketels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20181024 GAP-analyse Attitude hh e-besparing</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Subsidies: STEP is voor bedrijven en ISDE is voor de aanschaf van zonneboilers, warmtepompen, biomassaketels en pelletkachels, zowel door particulieren als zakelijke gebruikers. (Gap)</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Bio/Pellet/Hout ketels&amp;kachels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TJ hernieuwbare warmte van houtkachels in Zeeland ten opzichte van het totaal in Nederland.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hernieuwbare warmte door houtkachels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Houtkachels woningen hern. Warmte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Houtkachels woningen hern. Warmte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Houtkachels woningen hernieuwbare warmte per jaar</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aanwezigheid en opbrengst houtkachels en -ketels in woningen (Gap)</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Kachels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20181024 GAP-analyse Attitude hh e-besparing</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Subsidies: STEP is voor bedrijven en ISDE is voor de aanschaf van zonneboilers, warmtepompen, biomassaketels en pelletkachels, zowel door particulieren als zakelijke gebruikers. (Gap)</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apparaten &amp; verlichting: Het gaat hierbij om de elektriciteitsvraag voor huishoudelijke apparatuur, verlichting, computers, printers en andere primaire niet warmte-gerelateerde apparaten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Huishoud Apparaten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apparaten &amp; verlichting: Het gaat hierbij om de elektriciteitsvraag voor huishoudelijke apparatuur, verlichting, computers, printers en andere primaire niet warmte-gerelateerde apparaten GJ per Jaar 2030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Elektrisch Koken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Netwerken : capaciteit: E-net geschikt voor elektrisch koken?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Ventilatie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Ventilatie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Ventilatie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ventilatie GJ per jaar in 2019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Ventilatie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ventilatie GJ per jaar in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aantal spanningsklachten (terecht en onterechte en tgv van PV-installaties (zonnepanelen) in 2013,2014,2015,2016)</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verwachte aantal spanningsklachten (terecht en onterechte en tgv van PV-installaties (zonnepanelen) in 2018-2020)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zonnepanelen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05 - apr - 2018 Gegevens over de hoeveelheid en het gemiddelde kWpeak vermogen van zonnepaneelinstallaties, de zogenaamde PIR-lijst.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Ook PV/Th-panelen (Gap)</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07 - mrt - 2018 Energie verbruik (gas en electra)  en van de energieopbrengst via zonnepanelen van een woning per dag van minimaal 20 huizen (van  hetzelfde type woning) tussen 2013 en 2017. (PIR)</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05 - okt - 2018 Adressen van woningen in Lelystad waarbij stroom aan Liander wordt terug geleverd. Dit ivm een inventarisatie zonnepanelen dat door de toezichthouder (Waarderingskamer) verplicht is gesteld. woningen in Lelystad , Individuele persoonlijke verbruiksdata</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26 - sep - 2018 Adviseurs en installateurs vragen ons voornamelijk naar de aansluitwaardes van kleinverbruikers (consumenten) om bijv. zonnepanelen aan te bieden.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26 - sep - 2018 Aansluitwaardes van kleinverbruikers (consumenten) om bijv. zonnepanelen aan te bieden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Referentiebeeld: 1 Twh =  Zonnevelden met ruimte tussen de panelen 20MW is 30Ha bij 900 vollasturen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Referentiebeeld: 1 Twh =  Zonnepanelen van 300Wattpiek bij 12 panelen gemiddeld per woning</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Beschikbare capaciteit in elektriciteitsnet voor toepassing van zonnepanelen op woningbezit van woningcorporaties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Hoeveelheid zonnepanelen bij recreatief vastgoed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onderhoud zonnepanelen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Investeringen zonnepanelen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Benodigde hoeveelheid elektriciteit voor verschillende warmteopties zoals warmtepomp, warmtepompboilers of infraroodpanelen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panelen Thermisch dak per RES-Regio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Zonnepanelen, uitgesplitst naar grondgebonden, dak, gevel, anders (Gap/Deels beschikbaar)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Panelen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Om te bepalen of er op een schooldak voorzien is van zonnepanelen vragen zij per schooladres/postcode/huisnummer aan te geven of er wel of niet wordt teruggeleverd op het betreffende adres.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Verwachte vervangingsmomenten dak/CV en andere relevante onderdelen van gebouwen (Gap/Deels beschikbaar)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Flucturende opwek (GWe) per 2050 per scenario Zon-PV</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Capaciteit Productie vermogen, Zon-PV uitgesplitst naar 4 Scenario's/Maatschappijbeelden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Thermisch dak per RES-Regio per 2050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Thermisch dak per RES-Regio per 2040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PV dak per RES-Regio per 2050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PV dak per RES-Regio per 2040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ha PV dak per RES-Regio per 2040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Hernieuwbare opwek met zon-PV Noord-Holland in 2050 per scenario (in GW)</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ZonnePV op daken per subregio in 2020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ZonnePV op daken per subregio in 2030 per scenario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ZonnePV op daken per subregio in 2050 per scenario per scenario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Hernieuwbare elektriciteitsproducti (PJ/jaar) voor Zon-PV op daken per subregio voor 2020 en voor 2030 en 2050 per scenario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Hoeveelheid vermogen in GW voor Zon-PV in provincie Noord-Holland voor 2020, 2030 en de scenarios voor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Voor kleinere zon-PV op dak systemen bij huishoudens en MKB gaan we voor 2030 uit van de hiervoor voor al genoemde landelijke analyse in de gezamenlijke studie van CE Delft en ECN/TNO (zie (CE Delft en ECN-TNO, 2018)). </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Potentielen : zon PV op dak: industrie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Potentielen : zon PV op dak: utiliteit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Potentielen : zon PV op dak: huishoudens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U16-regio</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Strategie Elektriciteit: Regionaal aandeel in 42 TWh  (35 TWh op land en zonnedaken&gt; 15kwp op dak, 7 TWh kleinschalig op gebouwen)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U16-regio</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 beeld brengen huidige gerealiseerde grootschalige duurzame elektriciteitsopwekking in regio (zon, wind en zon op grote daken &gt; 15 kWp)</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ook potentie woninggebonden maatregelen (dak e.d.) (Gap)</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per techniek/optie in, geografisch gedetailleerd: Toepassing (dak, veld e.d.) (Gap/Wettelijke belemmeringen)</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Kansenkaarten met inzicht in de kansen voor verduurzaming van de elektriciteitsvoorziening voorziening (bronnen, potentieel, vraag, bestaande netten e.d.), Ook potentie woninggebonden maatregelen (dak e.d.)</w:t>
            </w:r>
            <w:r w:rsidRPr="005E071D">
              <w:rPr>
                <w:rFonts w:ascii="Calibri" w:eastAsia="Times New Roman" w:hAnsi="Calibri" w:cs="Calibri"/>
                <w:color w:val="000000"/>
                <w:sz w:val="20"/>
                <w:szCs w:val="20"/>
                <w:lang w:eastAsia="nl-NL"/>
              </w:rPr>
              <w:br/>
              <w:t xml:space="preserve"> ()</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Kansenkaarten met inzicht in de kansen voor verduurzaming van de warmtevoorziening (bronnen, potentieel, vraag, bestaande warmtenetten e.d.), ook potentie woninggebonden maatregelen (dak e.d.)</w:t>
            </w:r>
            <w:r w:rsidRPr="005E071D">
              <w:rPr>
                <w:rFonts w:ascii="Calibri" w:eastAsia="Times New Roman" w:hAnsi="Calibri" w:cs="Calibri"/>
                <w:color w:val="000000"/>
                <w:sz w:val="20"/>
                <w:szCs w:val="20"/>
                <w:lang w:eastAsia="nl-NL"/>
              </w:rPr>
              <w:br/>
              <w:t xml:space="preserve"> ()</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01 - dec - 2017 Slimme meterdata om inzichtelijk te maken wat er in een buurt aan energie wordt verbruikt icm met kadasterdata om te zien waar bijvoorbeeld daken beschikbaar zijn.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25 - jan - 2018 Aantal zon-PV-systemen (KV, t/m 3*80A) dat in Arnhem is bijgeplaatst in 2017, inclusief het vermogen van deze systemen tezamen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10 - jan - 2018  Aansluitingen , Graag ontvangen wij het aantal zon-PV-systemen (KV, t/m 3*80A) dat in Arnhem is bijgeplaatst in 2017, inclusief het vermogen van deze systemen tezamen. </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24 - aug - 2018 Assetdata, Elektriciteit , Anders, namelijk , Opgesteld vermogen in MWp per locatie: - maatschappelijk vastgoed (ziekenhuizen, scholen etc.) - veldopstellingen - agrarische bedrijfsdaken - overige bedrijfsdaken - particuliere daken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Doelstelling 2030: Hoeveelheid hernieuwbaar opgewekte elektriciteit in RES-regio d.m.v. Zon-PV op dak (&gt;15kW)</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Doelstelling 2030: Hoeveelheid hernieuwbaar opgewekte elektriciteit in RES-regio d.m.v. Zon-PV op land/water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 2050: Hoeveelheid hernieuwbaar opgewekte elektriciteit in RES-regio d.m.v. Zon-PV</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Zonbeleid binnen RES regio. Ingezet wordt op minimaal 500 MW op land/water en 500 MW (grootschalig) op dak in 2030.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 Hoeveelheid opgesteld vermogen Zon-PV op dak in RES-regio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Lopende plannen en initiatieven voor realisatie van zon op dak</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Subsidiebeschikkingen voor realisatie van zon op dak</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Vastgestelde werkafspraken op het gebied van realisatie van zon-PV in RES regio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Inschatting van opgesteld vermogen van zon-PV in 2050</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Inschatting van hoeveelheid hernieuwbaar opgewekte elektriciteit uit zon-PV in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08 - mrt - 2018 Hoeveel MW en hectare er aan zonnevelden en zon op dak (liefst uitgesplitst) is bijgekomen in 2017 en welke grootschalige zonneparken er op dit moment zijn gerealiseerd. </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panelen Thermisch dak per RES-Regio per 2050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op dak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Zonnepanelen, uitgesplitst naar grondgebonden, dak, gevel, anders (Gap/Deels beschikbaar)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PV op dak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Om te bepalen of er op een schooldak voorzien is van zonnepanelen vragen zij per schooladres/postcode/huisnummer aan te geven of er wel of niet wordt teruggeleverd op het betreffende adres.</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bestaande Zonneparken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PV veld per RES-Regio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PV veld ha zonneakker per RES-Regio per 2040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ha PV veld per RES-Regio per 2050</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Zonneweides per subregio in 2020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Zonneweides per subregio in 2030 per scenario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elektricteitsproductie  in PJ voor Zonneweides per subregio in 2050 per scenario per scenario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Hernieuwbare elektriciteitsproducti (PJ/jaar) voor Zonneweides per subregio voor 2020 en voor 2030 en 2050 per scenario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20181031_GAPanalyse_netbeheer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Bestemmingsplannen per (buiten)gebieden en dan met name wat de mogelijkheden zijn van duurzame opwek (zonneweides bijv.) (Gap)</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28 - feb - 2018 Een overzichtskaart OS RS SS (OnderStation, Substation)  met ruimteduiding voor decentrale opwek (grootschalige zonneparken) van het gehele voorzieningsgebied.</w:t>
            </w:r>
          </w:p>
        </w:tc>
      </w:tr>
      <w:tr w:rsidR="00F41874" w:rsidRPr="005E071D" w:rsidTr="00F41874">
        <w:trPr>
          <w:trHeight w:val="1152"/>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19 - sep - 2018 Als ontwikkelaar van zonnevelden willen wij graag weten wat de beschikbare capaciteit is op alle onderstations in Liander verzorgingsgebied, zodat we voorafgaand aan de lead-generatie weten waar we wel én waar we niet kunnen aansluiten. We zijn op zoek naar alle station waarop kan worden aangesloten inclusief de beschikbare capaciteit.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24 - mei - 2018 Assetdata, Elektriciteit , Stations , 10Kv stations specifiek. Voor een analyse over de ontwikkeling van Zonneparken op provinciale eigendommen binnen de Provincie Noord-Holland.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20181106 Verbetering Informatievoorziening Energie Transitie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Zonnevelden (OmgevingsWet) met provincies of gemeentes als bevoegd gezag</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Ontwikkeling van zonne-energie uitgesplitst naar PV-systemen bij huishoudens en zonneweides voor de komende jaren.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PV Weides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08 - mrt - 2018 Hoeveel MW en hectare er aan zonnevelden en zon op dak (liefst uitgesplitst) is bijgekomen in 2017 en welke grootschalige zonneparken er op dit moment zijn gerealiseerd.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windturbines per regio per jaar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Capaciteit per type windmolen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Windturbines per RES-Regio per 2050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PJ Windturbines per RES-Regio per 2040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MW per windturbine per RES-Regio per 2050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Hoogte(m) per windturbine per RES-Regio per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windturbines per RES-Regio per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Referentiebeeld: 1 Twh = 152 Windturbines Wind op land (3.0 MW vermogen en 2.200 vollasturen)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Referentiebeeld: 1 Twh =  152 Windturbines Wind op land (3.0 MW vermogen en 2.200 vollasturen)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onderhoud windturbines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Windturbine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Investeringen windturbines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Windturbine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Kosten onderhoud windturbines per regio per jaar</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Windpark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Installaties (incl schileigenschappen) : bestaande Windparken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Windpark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Per offshore windpark het aantal MW</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Windpark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Datums van besluiten over het aansluiten van offshore windparken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Windpark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gevraagde aansluitcapaciteit van geplande windparken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Windpark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de windplannen om kleinere en grotere windparken te faciliteren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(Seizoens)opslag: Ecovat, Vanadium Redox batterij, Power Walls enz. Potentie, bestaande installaties, achtergrondinfo Warmte, elektra, H2, andere energiedragers? Uitwisseling met buitenland</w:t>
            </w:r>
            <w:r w:rsidRPr="005E071D">
              <w:rPr>
                <w:rFonts w:ascii="Calibri" w:eastAsia="Times New Roman" w:hAnsi="Calibri" w:cs="Calibri"/>
                <w:color w:val="000000"/>
                <w:sz w:val="20"/>
                <w:szCs w:val="20"/>
                <w:lang w:eastAsia="nl-NL"/>
              </w:rPr>
              <w:br/>
              <w:t xml:space="preserve">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Technologische ontwikkeling van duurzame installaties en producten. Denk hierbij aan ontwikkelingen op het gebied van (hybride) warmtepompen en opslag in de vorm van een (warmte)batterij.</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p146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Verhouding Elektriciteit (BEV Battery Electrical Vehicle) bij personenauto’s (2050) per scenario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p146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Verhouding Elektriciteit (BEV Battery Electrical Vehicle) bij vrachtvervoer per scenario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Vermogen (in MW) per verbruiksgroep schiphol: Startverbruik (niet expliciet gemodelleerd en batterij) voor scenario hoog voor 2017, 2020, 2030, 2035; 2040</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thuisaccu's (8kWh) per scenario voor Noord-Holland 2030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Uitgaande van 8 kWh thuisaccu’s heeft in ‘Regionaal sturen’ 72% van de huishoudens een thuisaccu, in Nationaal is dat 29% en in Internationaal en Generiek 4% resp. 3%.</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10 - jul - 2018 Informatie over de ligging van buurtbatterijen in Midden- en West-Brabant</w:t>
            </w:r>
          </w:p>
        </w:tc>
      </w:tr>
      <w:tr w:rsidR="00F41874" w:rsidRPr="005E071D" w:rsidTr="00F41874">
        <w:trPr>
          <w:trHeight w:val="1152"/>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07 - mrt - 2018   Tbv duurzaamheid binnen de gemeenten willen wij graag realtime data gebruiken. Hierbij kan gedacht wordt aan een constanten update van de verbruik en opwek binnen de gemeente.  (per maand/ per dag/ per uur/ per 15 min/ per seconden?). Het liefs hebben wij de informatie zo accuraat als mogelijk per geaggregeerd locatie zonder dat er toestemming voor nodig is. Postcode 5/ 6 niveau. De duur van het project is minimaal een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Ontwikkelingen in het elektrisch vervoer voor de komende jaren. Met name worden genoemd Busvervoer, Battery Electrical Vehicles (BEV) en PlugIn Hybrid Elektrical Vehicles (PHEV)</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 Startnotitie Hart van Brabant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Ook zal naar opslag van energie middels batterijen en waterstof worden gekeken.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jaarvolume (Joule) voor 2030 (klimaatakkoord) en 2050 (4 scenario's): Energiedrager Elektriciteit, Energycategorie Flexibility en Energiecategorie Batterij opslag (huishouden)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Regionalisatie per gemeente of industrie cluster van:  Energiedrager Elektriciteit, Energycategorie Flexibility en Energiecategorie Batterij opslag (huishouden)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Tijdsprofiel op uurbasis (8760 uur) van: Energiedrager Elektriciteit, Energycategorie Flexibility en Energiecategorie Batterij opslag (huishouden)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maximum capaciteit (MW) van:  Energiedrager Elektriciteit, Energycategorie Flexibility en Energiecategorie Batterij opslag (huishouden)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Het jaarvolume (Joule) voor 2030 (klimaatakkoord) en 2050 (4 scenario's): Energiedrager Elektriciteit, Energycategorie Flexibility en Energiecategorie Batterij opslag (mobiliteit)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Regionalisatie per gemeente of industrie cluster van:  Energiedrager Elektriciteit, Energycategorie Flexibility en Energiecategorie Batterij opslag (mobiliteit)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Tijdsprofiel op uurbasis (8760 uur) van: Energiedrager Elektriciteit, Energycategorie Flexibility en Energiecategorie Batterij opslag (mobiliteit)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maximum capaciteit (MW) van:  Energiedrager Elektriciteit, Energycategorie Flexibility en Energiecategorie Batterij opslag (mobiliteit)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 17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Flexibiliteit strategieen voor: Energiedrager Elektriciteit en energysysteem categorie Batterij opslag (huishouden)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 18</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Flexibiliteit strategieen voor: Energiedrager Elektriciteit en energysysteem categorie Batterij opslag (mobiliteit)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Integrale infrastructuur verkenning</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 26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Flexibiliteits merit order voor: Energiedrager Elektriciteit en energysysteem categorie Batterij opslag (huishouden)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Batterijen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Infrastructure Outlook 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 27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Flexibiliteits merit order voor: Energiedrager Elektriciteit en energysysteem categorie Batterij opslag (mobiliteit)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installatie tank- en laadinfra per regio per jaar</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planning laadinfrastructuur</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omgevingsplannen, bestemmingsplannen tbv geschikte lokaties voor laadinfra</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bovendien heeft deze laadinfrastructuur behoefte aan gelijkstroom vraag is: kunnen RNB's dit leveren?</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lokatiedata laadinfra</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overzicht kosten aanleg laadinfrastructuur per RNB</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verbruiksdata laadpalen per tijdseenheid</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verbruiksdata laadpalen per tijdseenheid</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aansluitingen per 2 jaar voor laadpalen en de kosten voor realisatie daarvan</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Geschikte locaties aan voor snellaadinfrastructuur in binnenstedelijk gebied en voor langs de provinciale wegen. Dit gebeurt per 2020 voor de periode tot en met 2025 en per 2024 voor de periode tot en met 2030.</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toegang tot (anonieme) data over het gebruik van de infrastructuur – zoals laadpalen, parkeerruimte en wegen – is essentieel.</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Hoeveelheid ruimte / aantal laadpalen per type op wijkniveau</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Aanvullende informatie kan optioneel worden getoond of geïmporteerd, bijv. verbruik van laadpalen</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 de visie wordt in ieder geval het volgende opgenomen: de in de gemeente en/of regio vereiste aantallen en soorten laadinfrastructuur op basis van de gestelde ambitie;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en-US" w:eastAsia="nl-NL"/>
              </w:rPr>
            </w:pPr>
            <w:r w:rsidRPr="005E071D">
              <w:rPr>
                <w:rFonts w:ascii="Calibri" w:eastAsia="Times New Roman" w:hAnsi="Calibri" w:cs="Calibri"/>
                <w:color w:val="000000"/>
                <w:sz w:val="20"/>
                <w:szCs w:val="20"/>
                <w:lang w:val="en-US" w:eastAsia="nl-NL"/>
              </w:rPr>
              <w:t>NAL voor lunch and learn</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Toegankelijke informatie zoals locatie en beschikbaarheid van laadpalen.</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en-US" w:eastAsia="nl-NL"/>
              </w:rPr>
            </w:pPr>
            <w:r w:rsidRPr="005E071D">
              <w:rPr>
                <w:rFonts w:ascii="Calibri" w:eastAsia="Times New Roman" w:hAnsi="Calibri" w:cs="Calibri"/>
                <w:color w:val="000000"/>
                <w:sz w:val="20"/>
                <w:szCs w:val="20"/>
                <w:lang w:val="en-US" w:eastAsia="nl-NL"/>
              </w:rPr>
              <w:t>NAL voor lunch and learn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Oplevering aantal NAL Netbeheerders activiteiten (laadpalen?) per jaar van 2019 tot 2031 (2030)</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NAL4</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Serviceproviders en laadpaalexploitanten delen statische info publieke laadpalen met nationaal toegangspunt: NAP</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NAL4</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Serviceproviders en laadpaalexploitanten delen dynamische info publieke laadpalen met nationaal toegangspunt: NAP</w:t>
            </w:r>
          </w:p>
        </w:tc>
      </w:tr>
      <w:tr w:rsidR="00F41874" w:rsidRPr="005E071D" w:rsidTr="00F41874">
        <w:trPr>
          <w:trHeight w:val="1152"/>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NAL4</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De gemeenten en provincies wijzen, zo mogelijk in overleg, met marktpartijen geschikte locaties aan voor snellaadinfrastructuur in binnenstedelijk gebied en voor langs de provinciale wegen. Dit gebeurt per 2020 voor de periode tot en met 2025 en per 2024 voor de periode tot en met 2030. Door dit op te nemen in het plaatsingsbeleid wordt dit geïntegreerd met de andere vormen van laden. </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NAL4</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Serviceproviders en alle laadpaalexploitanten geven de prijs van ieder type laadsessie weer aan de EV-rijder.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NAL4</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De prijs van ad hoc laden wordt transparant weergegeven door de laadpaalexploitanten en service providers.  </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2019 juni overzicht 30 activiteiten NAL </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Uitrolplannen marktpartijen snelladers (ElaadNL Outlook Q1)</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2019 juni overzicht 30 activiteiten NAL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Uitrolplannen marktpartijen overige laadinfra (ElaadNL Outlook)</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Informatiebehoefte gebouwde omgeving</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 en aantal elektrische auto's ()</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01 - dec - 2017 Netgegevens en net-belastinggegevens van 2 wijken tbv E-laad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12 - jun - 2018 Assetdata van Enexis zoals: verdeelstations, Transformatorstations, Laagspanningskasten, Laadpalen. Op geografische wijze van de regio Midden en West Brabant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17 - apr - 2018 laagspanningsnet als lijn GIS bestand. Tbv strategische locaties voor elektrische laadpalen.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28 - jun - 2018  Laagspanningsnetten in Shapefile formaat tbv plankaarten voor openbare laadinfrastructuur voor elektrische auto’s in gemeente Den Helder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02 - okt - 2018 Opdracht gemeente Bodegraven-Reeuwijk om tot plankaarten openbare laadinfrastructuur te komen.  Elektriciteit  laagspanningskabels, ligging, GIS formaat (shapefile / filegeodatabase </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04 - okt - 2018 Opdracht gemeente Rotterdam om tot plankaarten openbare laadinfrastructuur te komen. Elektriciteit  laagspanningskabels, ligging, GIS formaat (shapefile / filegeodatabase </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04 - jan - 2018  Laagspanningskabels, inclusief GBKN ondergrond. Specifieke OV kabels hoeven niet te worden meegenomen. E.a. tbv laadpaallocaties.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19 - mrt - 2018 Assetdata, , Aansluitingen , Selectie uit het aansluitingenregister: 1. Alle aansluitingen in het C-AR waarbij soort aansluiting (veld A.26) de domeinwaarde “ELP” bevat (Elektrische Laadpaal) OF 2. Alle aansluitingen in het C-AR , </w:t>
            </w:r>
          </w:p>
        </w:tc>
      </w:tr>
      <w:tr w:rsidR="00F41874" w:rsidRPr="005E071D" w:rsidTr="00F41874">
        <w:trPr>
          <w:trHeight w:val="1440"/>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Openbaar vervoer: Provincies, vervoersregio’s, netbeheerders, energieproducenten, de Rijksoverheid en het bedrijfsleven werken samen aan de verdere uitrol en opschaling van zero-emissie bussen en de noodzakelijke alternatieve tank- en laadinfrastructuur. In 2025 zullen alle nieuw instromende OV-bussen zero-emissie zijn, zodat in 2030 alle ongeveer 5.000 OV-bussen zero-emissie zijn. De CO2-reductie bedraagt 9.989,00 ton CO2, dat is het huidige verbruik en uitstoot van de OV-bussen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laadpalen (publieke reguliere) voor elektrische auto's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laadpalen (semi-publieke reguliere) voor elektrische auto's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snellaadpalen (publieke) voor elektrische auto's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snellaadpalen (semi-publieke) voor elektrische auto's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FTE-Arbeid t.b.v. onderhoud tank- en laadinfra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Investeringen tank- en laadinfra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Kosten onderhoud tank- en laadinfra (jaarlijks) per regio per jaar</w:t>
            </w:r>
          </w:p>
        </w:tc>
      </w:tr>
      <w:tr w:rsidR="00F41874" w:rsidRPr="005E071D" w:rsidTr="00F41874">
        <w:trPr>
          <w:trHeight w:val="1152"/>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 en tankinfra acties: 22. Roadmap openbare (snel)laadinfra personenauto’s, inclusief aanbod toeristische sector 23. Realisatie HVO tankinfrastructuur en elektrische laadinfra voor wegtransport 24. Realisatie alternatieve tankinfra voor binnenvaart en zeeschepen en elektrische infrastructuur en walstroom 25. Ontwikkelen van business cases voor waterstof tankstation(s): 2 locaties in Zeeland ontwikkelen tot 2025 26. Ontwikkelen waterstofinfra voor de scheepvaart</w:t>
            </w:r>
          </w:p>
        </w:tc>
      </w:tr>
      <w:tr w:rsidR="00F41874" w:rsidRPr="005E071D" w:rsidTr="00F41874">
        <w:trPr>
          <w:trHeight w:val="1440"/>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Laadpalen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 en tankinfra: De uitvoering van de Nationale Agenda laadinfrastructuur zal met provincies en gemeenten worden vertaald in regionale mobiliteitsplannen, waarin opgenomen de lokale behoeften voor laadinfra. Slim laden, ook wel Smart Charging, kan helpen bij de toenemende elektriciteitsvraag. We verwachten dat er in 2030 voor ongeveer 120.000 personenauto’s laadinfra nodig is. We willen niet dat een tekort aan laadinfra de groei in elektrisch rijden remt, en dus faciliteren en stimuleren we de realisatie van (semi) openbare laadpunten in Zeeland.</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laadpunten met onderscheid naar type laadpunten (Privaat; publiek; Semie-publiek; snelladen) voor 2020, 2021, 2025 en 2030</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laadpunten per 2020, 2025 en 2030 per provincie</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Voorspelling aantal laadpunten per provincie per huidig, 2020, 2025,2030</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p48</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snellaadpunten per provincie voor de jaren 2020, 2025, 2030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en-US" w:eastAsia="nl-NL"/>
              </w:rPr>
            </w:pPr>
            <w:r w:rsidRPr="005E071D">
              <w:rPr>
                <w:rFonts w:ascii="Calibri" w:eastAsia="Times New Roman" w:hAnsi="Calibri" w:cs="Calibri"/>
                <w:color w:val="000000"/>
                <w:sz w:val="20"/>
                <w:szCs w:val="20"/>
                <w:lang w:val="en-US" w:eastAsia="nl-NL"/>
              </w:rPr>
              <w:t>NAL voor lunch and learn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laadpunten per soort (Private, Semipublic, Public, Fast Charging)</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Hoofdstuk RES in het klimaat akkoord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de (LS) netten, (afstanden naar) MSR's, openbare laadpunten voor EV</w:t>
            </w:r>
          </w:p>
        </w:tc>
      </w:tr>
      <w:tr w:rsidR="00F41874" w:rsidRPr="005E071D" w:rsidTr="00F41874">
        <w:trPr>
          <w:trHeight w:val="2880"/>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Duurzaam Grond, weg- en waterbouw en duurzaam inkopen overheden: In het kader van de Green Deal Duurzaam GWW 2.0, willen de gezamenlijke overheden toe naar klimaatneutraal en circulair aanbesteden. Een andere kansrijke verbinding is het ontwikkelen van masterclasses, opleidingen en trainingen voor ‘circulair en duurzaam ontwerpen GWW, bouw en infra’. Duurzaam inkopen overheden: Landelijk stimuleert de Rijksoverheid de verduurzaming van de eigen vloot door het gebruik van schone voertuigen, duurzame energiedragers en het programma Duurzaam Inkopen. In 2022 wordt een normstellende regeling onder de Omgevingswet ingevoerd om de negatieve effecten van het eigen werk-gerelateerde en goederenvervoer, en van de eigen wagenparken terug te dringen. Zeeuwse overheden hebben de ambitie om in 2030 een geheel energieneutraal wagenpark te hebben. Elke organisatie zal hiervoor het vervangingsplan van het wagenpark moeten herzien. Voor verdere verduurzaming in mobiliteit is het belangrijk dat informatie over locatie en beschikbaarheid van laadpunten verbetert, harmoniseert en gedeeld wordt, en dat de prijzen voor elektrisch vervoer dalen.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201970815 toelichting invulformulieren RES_def_v002</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Elektriciteit,Vraag,Elektrisch vervoer (semi-)publieke laadpunten,Aantal auto’s,PC4, PC6 of per CBS buurt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201970815 toelichting invulformulieren RES_def_v002</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Elektriciteit,Vraag,Elektrisch vervoer publieke snellaadpunten,Aantal auto’s,PC4, PC6 of per CBS buurt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laadpunten (publieke reguliere) voor elektrische auto's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laadpunten (semi-publieke reguliere) voor elektrische auto's per regio per jaar</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snellaadpunten (publieke) voor elektrische auto's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snellaadpunten (semi-publieke) voor elektrische auto's per regio per jaar</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IBP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Vraag- en aanbod laadpunten elektrisch vervoer</w:t>
            </w:r>
          </w:p>
        </w:tc>
      </w:tr>
      <w:tr w:rsidR="00F41874" w:rsidRPr="005E071D" w:rsidTr="00F41874">
        <w:trPr>
          <w:trHeight w:val="1440"/>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Laadpunten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 en tankinfra: De uitvoering van de Nationale Agenda laadinfrastructuur zal met provincies en gemeenten worden vertaald in regionale mobiliteitsplannen, waarin opgenomen de lokale behoeften voor laadinfra. Slim laden, ook wel Smart Charging, kan helpen bij de toenemende elektriciteitsvraag. We verwachten dat er in 2030 voor ongeveer 120.000 personenauto’s laadinfra nodig is. We willen niet dat een tekort aan laadinfra de groei in elektrisch rijden remt, en dus faciliteren en stimuleren we de realisatie van (semi) openbare laadpunten in Zeeland.</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Nat. Agenda Laadinfrastructuur</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Walstroom</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Mobiliteit+-+achtergrondnotitie+Nationale+Agenda+Laadinfrastructuur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waar is nu al walstroom aanwezig?</w:t>
            </w:r>
          </w:p>
        </w:tc>
      </w:tr>
      <w:tr w:rsidR="00F41874" w:rsidRPr="005E071D" w:rsidTr="00F41874">
        <w:trPr>
          <w:trHeight w:val="1440"/>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Walstroom</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Zero-emissie havens, binnenvaart, kust- en zeevaart acties: 7. Uitvoering pilot zero-emissie eilanddistributie 8. Realisatie diverse modal-shift projecten goederentransport (van weg- naar binnenvaart en spoor) 9. Uitvoering project Transport2Share: stimuleren zero-emissie wegtransport 10. Verduurzamen logistieke &amp; haven infrastructuur 11. Ontwikkeling en in gebruik name van hybride schepen (elektrisch-waterstof) en gebruik elektrische walstroom 12. Verduurzaming plezier- en kustvaart 13. Verduurzaming goederenspoor door vervangen van diesel- door waterstoftreinen</w:t>
            </w:r>
          </w:p>
        </w:tc>
      </w:tr>
      <w:tr w:rsidR="00F41874" w:rsidRPr="005E071D" w:rsidTr="00F41874">
        <w:trPr>
          <w:trHeight w:val="1152"/>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Walstroom</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Mobiliteit,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Laad- en tankinfra acties: 22. Roadmap openbare (snel)laadinfra personenauto’s, inclusief aanbod toeristische sector 23. Realisatie HVO tankinfrastructuur en elektrische laadinfra voor wegtransport 24. Realisatie alternatieve tankinfra voor binnenvaart en zeeschepen en elektrische infrastructuur en walstroom 25. Ontwikkelen van business cases voor waterstof tankstation(s): 2 locaties in Zeeland ontwikkelen tot 2025 26. Ontwikkelen waterstofinfra voor de scheepvaart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op pand/BAG niveau: huidig geinstalleerde WP'en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LT WP installaties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HT industriele WP installaties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Technologische ontwikkeling van duurzame installaties en producten. Denk hierbij aan ontwikkelingen op het gebied van (hybride) warmtepompen en opslag in de vorm van een (warmte)batterij.</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Totale warmtevraag: Dit is de hoeveelheid energie (bijvoorbeeld aardgas of elektriciteit) verbruikt door uw warmte-installatie (bijv. CV-ketel, elektrische boiler, warmtepomp) om de benodigde warmte op te wekken, exclusief ventilatie.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Hybride WP (waterstof)</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Hybride WP (groengas)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Elektrische WP</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Hybride WP (waterstof)</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Hybride WP (groengas)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Elektrische WP</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Hybride WP (waterstof)</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Hybride WP (groengas)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Elektrische WP</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All electric per RES-Regio per 2050PJ Gebouwverwarming/warmtepompen per RES-Regio per 2050</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koude: Schat hierbij in hoeveel elektriciteit wordt gevraagd om het gebouw te koelen (bijvoorbeeld airconditioning en de koudelevering bij een warmtepomp) GJ per Jaar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t.b.v. koude: Schat hierbij in hoeveel elektriciteit wordt gevraagd om het gebouw te koelen (bijvoorbeeld airconditioning en de koudelevering bij een warmtepomp) GJ per Jaar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Hybride warmtepomp aanwezig ja/nee in 2019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Hybride warmtepomp aanwezig ja/nee in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Elektrische warmtepomp aanwezig ja/nee in 2019 per BAG ID of Adres van het object</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Elektrische warmtepomp aanwezig ja/nee in 2030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warm tapwater: Dit geeft de verhouding tussen de hoeveelheid geleverde warm tapwater door een warmtepomp en de hoeveelheid gevraagde elektriciteit om deze warmte te leveren % in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warm tapwater: Dit geeft de verhouding tussen de hoeveelheid geleverde warm tapwater door een warmtepomp en de hoeveelheid gevraagde elektriciteit om deze warmte te leveren % in 2030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ruimteverwarming: Dit geeft de verhouding tussen de hoeveelheid geleverde warmte voor ruimteverwarming door een warmtepomp en de hoeveelheid gevraagde elektriciteit om deze warmte te leveren  % in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ruimteverwarming: Dit geeft de verhouding tussen de hoeveelheid geleverde warmte voor ruimteverwarming door een warmtepomp en de hoeveelheid gevraagde elektriciteit om deze warmte te leveren  % in 2030 per BAG ID of Adres van het object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koude: Dit geeft de verhouding tussen de hoeveelheid geleverde koude door een warmtepomp en de hoeveelheid gevraagde elektriciteit om deze koude te leveren  % in 2019 per BAG ID of Adres van het object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COP van elektrische warmtepomp, koude: Dit geeft de verhouding tussen de hoeveelheid geleverde koude door een warmtepomp en de hoeveelheid gevraagde elektriciteit om deze koude te leveren % in 2030 per BAG ID of Adres van het object</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U16-regio</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een warmtepomp in mijn woning is helemaal te gek en ik wil weten wat dat kost</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25 - sep - 2018   Elektriciteit 1) Samengestelde profielen op basis van geclusterde slimme meter data. (verbetering op NEDU) ; 2) Grootverbruikers/AC4-aansluitingen profielen ;  3) Profiel voor woningen met warmtepompen; 4) Profielen voor nieuwbouwwoningen  Forecasting, betere dienstverlening voor onze klanten.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Infrastructuur: ElektriciteitsNetten: CapaciteitsIssues  voor WP</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Lange-termijn groeiscenario’s op het gebied van EV, PV en warmtepompen.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bijdrage van elektrisch vervoer, van warmtepompen en PV in de gesommeerde piekbelasting in MVA in 2026</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 van all-electric warmtepompen in RES-regio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 van hybride warmtepompen in RES-regio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201970815 toelichting invulformulieren RES_def_v002</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Elektriciteit,Vraag,Warmteoplossing,Kiezen uit één van de warmteoplossingen: warmtenet (HT/MT/LT), warmtepomp (WP/HWP), gas of combinaties hiervan,CBS buurt</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20181114 VIVET-EZK-RVO-spoor2</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Berekende toekomstige warmtevraag (PJ), onderscheid in functies (voor woningen ruimteverwarming, warmtapwater, koken) , inclusief warmtetechniek (warmtepomp, micro(WKK), LT/HT warmtelevering, elektrische weerstand, etc) per buurt en per RES-regio voor 2030 en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p33</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Benodigde hoeveelheid elektriciteit voor verschillende warmteopties zoals warmtepomp, warmtepompboilers of infraroodpanelen</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Transitie visie warmte</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pompenergie: Schat hier de benodigde hoeveelheid elektriciteit in om de warmte rond te pompen binnen een gebouw (bij bijvoorbeeld een CV-ketel of een warmtepomp) GJ per Jaar 2019 per BAG ID of Adres van het object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Format warmteplannen tbv Startanalyse</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Elektriciteitsvraag pompenergie: Schat hier de benodigde hoeveelheid elektriciteit in om de warmte rond te pompen binnen een gebouw (bij bijvoorbeeld een CV-ketel of een warmtepomp) GJ Per jaar 2030 per BAG ID of Adres van het object</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Warmtepompen</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20181024 GAP-analyse Attitude hh e-besparing</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Subsidies: STEP is voor bedrijven en ISDE is voor de aanschaf van zonneboilers, warmtepompen, biomassaketels en pelletkachels, zowel door particulieren als zakelijke gebruikers. (Gap)</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industrie locatie en eigenschappen capaciteit, leeftijd en type</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landbouw locatie en eigenschappen capaciteit, leeftijd en type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Installaties (incl schileigenschappen) : wkk in utiliteit locatie en eigenschappen capaciteit, leeftijd en type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Biogas WKK</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WKK installaties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Energiestroom PJ (Sankey) per 2050 per scenario tbv Warmte WKK</w:t>
            </w:r>
          </w:p>
        </w:tc>
      </w:tr>
      <w:tr w:rsidR="00F41874" w:rsidRPr="005E071D" w:rsidTr="00F41874">
        <w:trPr>
          <w:trHeight w:val="864"/>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03 - apr - 2018  Welke WKK’s zijn er in het Amsterdamse havengebied Westpoort, naast Nuon, AEB, Orgaworld, Sonneborn die elektra leveren (dus geen zon of wind!). Dit om meer zicht te krijgen op de gezamenlijke vraag rondom bedrijven van het gas (zie brief van Wiebes)</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07 - mei - 2018 Verbruiksdata, Gas , Kleinverbruik , Individuele persoonlijke verbruiksdata. Het doel van de aanvraag tot asset-data is om, samen met Liander, te kijken naar een optimale locatie van de WKK om zodoende te bepalen waar deze het best geplaats kan worden.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20180207_Kwaliteits en Capaciteitsdocument Elektriciteit Liander 2017</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p48</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Prognose van het opgesteld DCO vermogen Wkk in MW voor de periode 2016 -2016 per jaar per provincie</w:t>
            </w:r>
          </w:p>
        </w:tc>
      </w:tr>
      <w:tr w:rsidR="00F41874" w:rsidRPr="005E071D" w:rsidTr="00F41874">
        <w:trPr>
          <w:trHeight w:val="864"/>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WKK</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20181114 VIVET-EZK-RVO-spoor2</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Berekende toekomstige warmtevraag (PJ), onderscheid in functies (voor woningen ruimteverwarming, warmtapwater, koken) , inclusief warmtetechniek (warmtepomp, micro(WKK), LT/HT warmtelevering, elektrische weerstand, etc) per buurt en per RES-regio voor 2030 en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WKO open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WKO gesloten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WKO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WKO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WKO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Ruimtelijke Restrictie Gebieden: Boorvrije Zones aardwarmte, WKO</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Ruimtelijke Restrictie Gebieden: Interferentie Gebieden WKO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WKO</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Infrastructuur: WKONetten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Ondiepe bodemenergie hern. warmte utiliteitsbouw (WP, WKO) per jaar (tier1)</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WKO</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aanwezigheid warmte- en koudebronnen en de daadwerkelijke levering in Joule (WKO, geothermie, aquathermie enz.) (Gap/Wettelijke belemmeringen)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Kaart: Locaties warmte aansluitingen per 2050 in het Scenario Regie Regionaal met Geothermie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Locaties warmte aansluitingen per 2050 per scenario met Geothermie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warmte aansluitingen per 2050 per scenario met Geothermie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Energiestroom PJ (Sankey) per 2050 per scenario uit Geothermie/Restwarmte</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RES-VERGELIJKING Pilotregio's (VNG POSAD)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Aantal putten Geothermie per RES-Regio per 2050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Productie van warmte door geothermie in PJ per jaar (peiljaar 2020) in Noord-Holland</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Indicatie van de e locaties voor warmtetransport van restwarmte en geothermie op peildatum 2030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ETRM</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p139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Hoeveelheid PJ Geothermie per scenario per 2030 /2050</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181122 input EG ETRM voor VIVET</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Potentielen : geothermie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RES-Coördinatorendag 11 juni _ Concept Notitie Warmte _ Nationaal Programma RES</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Energie - Analysekaarten met ruimtelijke potentie voor geothermie</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Klantvragen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U16-regio</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De RES brengt het aanbod van duurzame energiebronnen in beeld, waaronder warmte. Denk aan geothermie, thermische energie uit oppervlaktewater en de beperkte beschikbaarheid van biomassa.</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Inventarisatie klantvragen Netbeheerders 2017-2018</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12 - feb - 2018 Hoeveelheid opwek duurzame energie in de gemeente. Concreet het aantal TJ/GJ opwek vanuit zon, wind, bio-energie en geothermie per gemeente. (PIR)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Risico's voor de ondergrond/waterkwaliteit bijvoorbeeld bij geothermie.</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Bouwstenen RES Zeeland: Bouwsteen RES Gebouwde Omgeving, mei 2019</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Kansrijke locaties voor geothermie in RES-regio</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201970815 toelichting invulformulieren RES_def_v002</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Elektriciteit,Vraag,Geothermie ,MWp (capaciteit),OS, PC4, PC6 of per CBS buurt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Geothermie geproduceerde warmte per jaar (tier 3)</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Geothermie</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20181102 Infobehoefte Hernieuwbaar</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aanwezigheid warmte- en koudebronnen en de daadwerkelijke levering in Joule (WKO, geothermie, aquathermie enz.) (Gap/Wettelijke belemmeringen)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naar huidige 2050 prijzen Jaarlijkse kosten energievoorziening Gebouwen/Installaties naar huidige 2050 prijzen</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naar huidige 2050 prijzen Jaarlijkse kosten energievoorziening Gebouwen/Installaties naar huidige 2050 prijzen</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uitgesplitst naar 4 Scenario's/Maatschappijbeelden (Regionaal, Nationaal, Internationaal en generiek)</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Huidige kosten energievoorziening CO2-Netten en CCS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lastRenderedPageBreak/>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Regelbaar vermogen en opslag (GWe) per 2050 per scenario Aardgas CCS</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p18</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Energiesysteemkosten (Miljard € per jaar) per 2050 per scenario voor CO2 netten en CCS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Jaarlijkse kosten energievoorziening CO2-Netten en CCS uitgesplitst naar 4 Scenario's/Maatschappijbeelden (Regionaal, Nationaal, Internationaal en generiek)</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Regionale systeem studies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p19</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Huidige kosten energievoorziening CO2-Netten en CCS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Rapportage systeemstudie energie-infrastructuur Noord-Holland 2020-2050</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p36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Indicatie van de e locaties voor CCS-opslag onder zee op peildatum 2030</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 xml:space="preserve">Bouwstenen RES Zeeland : Bouwsteen RES Elektriciteit, mei 2019 </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Potentie 2050: Hoeveelheid hernieuwbaar opgewekte elektriciteit in RES-regio d.m.v. Gas + CCS</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Kamerbrief over inzet kabinet voor Klimaatakkoord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p20</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Afspraken over het realiseren van belangrijke infrastructurele projecten rond onder andere CCS/CCU, waterstof en warmtevoorziening</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Kamerbrief over inzet kabinet voor Klimaatakkoord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het efficiency potentieel van technieken (bv CCS)</w:t>
            </w:r>
          </w:p>
        </w:tc>
      </w:tr>
      <w:tr w:rsidR="00F41874" w:rsidRPr="005E071D" w:rsidTr="00F41874">
        <w:trPr>
          <w:trHeight w:val="288"/>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CCS</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Kamerbrief over inzet kabinet voor Klimaatakkoord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Inzicht in het reductie potentieel van technieken (bv CCS) en projecten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AVI</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Restwarmte AVI</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AVI</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Documentenset 2018</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p54</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Afvalverbrandingsinstallatie hern. elektriciteit (tier 1) per regio per jaar</w:t>
            </w: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AVI</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Gelders Energieakkoord Nulmeting Provincie Gelderland</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p55</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TJ Afvalverbrandingsinstallatie hernieuwbare warmte per jaar (tier 1)</w:t>
            </w:r>
          </w:p>
        </w:tc>
      </w:tr>
      <w:tr w:rsidR="00F41874" w:rsidRPr="00501321"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r w:rsidRPr="005E071D">
              <w:rPr>
                <w:rFonts w:ascii="Calibri" w:eastAsia="Times New Roman" w:hAnsi="Calibri" w:cs="Calibri"/>
                <w:color w:val="000000"/>
                <w:sz w:val="20"/>
                <w:szCs w:val="20"/>
                <w:lang w:val="de-DE" w:eastAsia="nl-NL"/>
              </w:rPr>
              <w:t>Regionale Energie Strategieën (RES)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val="de-DE"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val="de-DE"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val="de-DE"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Zonnecollector</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Startnotitie Regionale Energiestrategie Metropoolregio Eindhoven</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p6</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Referentiebeeld: 1 Twh = 370 HA Zonnecollectoren velden</w:t>
            </w:r>
          </w:p>
        </w:tc>
      </w:tr>
      <w:tr w:rsidR="00F41874" w:rsidRPr="005E071D" w:rsidTr="00F41874">
        <w:trPr>
          <w:trHeight w:val="288"/>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Informatiebehoeften VIVET</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Times New Roman" w:eastAsia="Times New Roman" w:hAnsi="Times New Roman" w:cs="Times New Roman"/>
                <w:sz w:val="20"/>
                <w:szCs w:val="20"/>
                <w:lang w:eastAsia="nl-NL"/>
              </w:rPr>
            </w:pPr>
          </w:p>
        </w:tc>
      </w:tr>
      <w:tr w:rsidR="00F41874" w:rsidRPr="005E071D" w:rsidTr="00F41874">
        <w:trPr>
          <w:trHeight w:val="576"/>
        </w:trPr>
        <w:tc>
          <w:tcPr>
            <w:tcW w:w="149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Power2Heat</w:t>
            </w:r>
          </w:p>
        </w:tc>
        <w:tc>
          <w:tcPr>
            <w:tcW w:w="3188"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20190809 Mindmap Warmte_Informatie_GAP Mindmap2Excel</w:t>
            </w:r>
          </w:p>
        </w:tc>
        <w:tc>
          <w:tcPr>
            <w:tcW w:w="696"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w:t>
            </w:r>
          </w:p>
        </w:tc>
        <w:tc>
          <w:tcPr>
            <w:tcW w:w="10935" w:type="dxa"/>
            <w:tcBorders>
              <w:top w:val="nil"/>
              <w:left w:val="nil"/>
              <w:bottom w:val="nil"/>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Warmte  Informatie GAP: Installaties Productie (Basislast, pieklast), Conversie en Opslag: Power2Heat</w:t>
            </w:r>
          </w:p>
        </w:tc>
      </w:tr>
      <w:tr w:rsidR="00F41874" w:rsidRPr="005E071D" w:rsidTr="00F41874">
        <w:trPr>
          <w:trHeight w:val="576"/>
        </w:trPr>
        <w:tc>
          <w:tcPr>
            <w:tcW w:w="149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Power2Heat</w:t>
            </w:r>
          </w:p>
        </w:tc>
        <w:tc>
          <w:tcPr>
            <w:tcW w:w="3188"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Investerings plannen RNB's</w:t>
            </w:r>
          </w:p>
        </w:tc>
        <w:tc>
          <w:tcPr>
            <w:tcW w:w="4670"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nil"/>
              <w:right w:val="nil"/>
            </w:tcBorders>
            <w:shd w:val="clear" w:color="auto" w:fill="auto"/>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Regelbare vraag (GWe) per 2050 per scenario Flex P2H</w:t>
            </w:r>
          </w:p>
        </w:tc>
      </w:tr>
      <w:tr w:rsidR="00F41874" w:rsidRPr="005E071D" w:rsidTr="00F41874">
        <w:trPr>
          <w:trHeight w:val="576"/>
        </w:trPr>
        <w:tc>
          <w:tcPr>
            <w:tcW w:w="1490" w:type="dxa"/>
            <w:tcBorders>
              <w:top w:val="nil"/>
              <w:left w:val="nil"/>
              <w:bottom w:val="single" w:sz="8" w:space="0" w:color="000000"/>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Power2Heat</w:t>
            </w:r>
          </w:p>
        </w:tc>
        <w:tc>
          <w:tcPr>
            <w:tcW w:w="3188" w:type="dxa"/>
            <w:tcBorders>
              <w:top w:val="nil"/>
              <w:left w:val="nil"/>
              <w:bottom w:val="single" w:sz="8" w:space="0" w:color="000000"/>
              <w:right w:val="nil"/>
            </w:tcBorders>
            <w:shd w:val="clear" w:color="D9D9D9" w:fill="D9D9D9"/>
            <w:hideMark/>
          </w:tcPr>
          <w:p w:rsidR="00F41874" w:rsidRPr="005E071D" w:rsidRDefault="00F41874" w:rsidP="00F41874">
            <w:pPr>
              <w:spacing w:before="0" w:after="0" w:line="240" w:lineRule="auto"/>
              <w:jc w:val="center"/>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#VERW!</w:t>
            </w:r>
          </w:p>
        </w:tc>
        <w:tc>
          <w:tcPr>
            <w:tcW w:w="4670" w:type="dxa"/>
            <w:tcBorders>
              <w:top w:val="nil"/>
              <w:left w:val="nil"/>
              <w:bottom w:val="single" w:sz="8" w:space="0" w:color="000000"/>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Net voor de toekomst (CE-Delft, Netbeheer Nederland)</w:t>
            </w:r>
          </w:p>
        </w:tc>
        <w:tc>
          <w:tcPr>
            <w:tcW w:w="696" w:type="dxa"/>
            <w:tcBorders>
              <w:top w:val="nil"/>
              <w:left w:val="nil"/>
              <w:bottom w:val="single" w:sz="8" w:space="0" w:color="000000"/>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p17</w:t>
            </w:r>
          </w:p>
        </w:tc>
        <w:tc>
          <w:tcPr>
            <w:tcW w:w="10935" w:type="dxa"/>
            <w:tcBorders>
              <w:top w:val="nil"/>
              <w:left w:val="nil"/>
              <w:bottom w:val="single" w:sz="8" w:space="0" w:color="000000"/>
              <w:right w:val="nil"/>
            </w:tcBorders>
            <w:shd w:val="clear" w:color="D9D9D9" w:fill="D9D9D9"/>
            <w:hideMark/>
          </w:tcPr>
          <w:p w:rsidR="00F41874" w:rsidRPr="005E071D" w:rsidRDefault="00F41874" w:rsidP="00F41874">
            <w:pPr>
              <w:spacing w:before="0" w:after="0" w:line="240" w:lineRule="auto"/>
              <w:rPr>
                <w:rFonts w:ascii="Calibri" w:eastAsia="Times New Roman" w:hAnsi="Calibri" w:cs="Calibri"/>
                <w:color w:val="000000"/>
                <w:sz w:val="20"/>
                <w:szCs w:val="20"/>
                <w:lang w:eastAsia="nl-NL"/>
              </w:rPr>
            </w:pPr>
            <w:r w:rsidRPr="005E071D">
              <w:rPr>
                <w:rFonts w:ascii="Calibri" w:eastAsia="Times New Roman" w:hAnsi="Calibri" w:cs="Calibri"/>
                <w:color w:val="000000"/>
                <w:sz w:val="20"/>
                <w:szCs w:val="20"/>
                <w:lang w:eastAsia="nl-NL"/>
              </w:rPr>
              <w:t>Flucturende opwek (GWe) per 2050 per scenario Flex P2H</w:t>
            </w:r>
          </w:p>
        </w:tc>
      </w:tr>
    </w:tbl>
    <w:p w:rsidR="00F41874" w:rsidRPr="005D2B4D" w:rsidRDefault="00F41874" w:rsidP="00F41874"/>
    <w:sectPr w:rsidR="00F41874" w:rsidRPr="005D2B4D" w:rsidSect="005E071D">
      <w:pgSz w:w="23811" w:h="16838" w:orient="landscape" w:code="8"/>
      <w:pgMar w:top="1275" w:right="1440" w:bottom="1276"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479" w:rsidRDefault="003B3479">
      <w:pPr>
        <w:spacing w:after="0" w:line="240" w:lineRule="auto"/>
      </w:pPr>
      <w:r>
        <w:separator/>
      </w:r>
    </w:p>
  </w:endnote>
  <w:endnote w:type="continuationSeparator" w:id="0">
    <w:p w:rsidR="003B3479" w:rsidRDefault="003B3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5688"/>
      <w:docPartObj>
        <w:docPartGallery w:val="Page Numbers (Bottom of Page)"/>
        <w:docPartUnique/>
      </w:docPartObj>
    </w:sdtPr>
    <w:sdtEndPr>
      <w:rPr>
        <w:noProof/>
      </w:rPr>
    </w:sdtEndPr>
    <w:sdtContent>
      <w:p w:rsidR="00501321" w:rsidRDefault="00501321">
        <w:pPr>
          <w:pStyle w:val="Voettekst"/>
        </w:pPr>
        <w:r>
          <w:rPr>
            <w:lang w:bidi="nl-NL"/>
          </w:rPr>
          <w:fldChar w:fldCharType="begin"/>
        </w:r>
        <w:r>
          <w:rPr>
            <w:lang w:bidi="nl-NL"/>
          </w:rPr>
          <w:instrText xml:space="preserve"> PAGE   \* MERGEFORMAT </w:instrText>
        </w:r>
        <w:r>
          <w:rPr>
            <w:lang w:bidi="nl-NL"/>
          </w:rPr>
          <w:fldChar w:fldCharType="separate"/>
        </w:r>
        <w:r w:rsidR="00376AA2">
          <w:rPr>
            <w:noProof/>
            <w:lang w:bidi="nl-NL"/>
          </w:rPr>
          <w:t>4</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479" w:rsidRDefault="003B3479">
      <w:pPr>
        <w:spacing w:after="0" w:line="240" w:lineRule="auto"/>
      </w:pPr>
      <w:r>
        <w:separator/>
      </w:r>
    </w:p>
  </w:footnote>
  <w:footnote w:type="continuationSeparator" w:id="0">
    <w:p w:rsidR="003B3479" w:rsidRDefault="003B3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203DA"/>
    <w:multiLevelType w:val="hybridMultilevel"/>
    <w:tmpl w:val="0BB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1E60CA"/>
    <w:multiLevelType w:val="hybridMultilevel"/>
    <w:tmpl w:val="C016B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A956629"/>
    <w:multiLevelType w:val="hybridMultilevel"/>
    <w:tmpl w:val="EB4A2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F3A1AB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EB"/>
    <w:rsid w:val="00065CC0"/>
    <w:rsid w:val="000841B0"/>
    <w:rsid w:val="00087F1D"/>
    <w:rsid w:val="000D5C5E"/>
    <w:rsid w:val="0013369B"/>
    <w:rsid w:val="0014743F"/>
    <w:rsid w:val="00161C8C"/>
    <w:rsid w:val="001824D9"/>
    <w:rsid w:val="00194DF6"/>
    <w:rsid w:val="001A05DF"/>
    <w:rsid w:val="001C06F2"/>
    <w:rsid w:val="001C2CF3"/>
    <w:rsid w:val="001C5A49"/>
    <w:rsid w:val="00220C04"/>
    <w:rsid w:val="00232DFF"/>
    <w:rsid w:val="002C1AC4"/>
    <w:rsid w:val="002F258C"/>
    <w:rsid w:val="0033188F"/>
    <w:rsid w:val="0033191F"/>
    <w:rsid w:val="00376AA2"/>
    <w:rsid w:val="003B3479"/>
    <w:rsid w:val="003C38E9"/>
    <w:rsid w:val="003D19A2"/>
    <w:rsid w:val="003D3FB8"/>
    <w:rsid w:val="003E4A14"/>
    <w:rsid w:val="003F403A"/>
    <w:rsid w:val="004344C5"/>
    <w:rsid w:val="00461687"/>
    <w:rsid w:val="0048750F"/>
    <w:rsid w:val="004A0F42"/>
    <w:rsid w:val="004C2598"/>
    <w:rsid w:val="004E1AED"/>
    <w:rsid w:val="00501321"/>
    <w:rsid w:val="00532A91"/>
    <w:rsid w:val="0053660A"/>
    <w:rsid w:val="00593AD2"/>
    <w:rsid w:val="005A21F9"/>
    <w:rsid w:val="005A2C30"/>
    <w:rsid w:val="005C12A5"/>
    <w:rsid w:val="005D2B4D"/>
    <w:rsid w:val="005E071D"/>
    <w:rsid w:val="005E0855"/>
    <w:rsid w:val="00654D75"/>
    <w:rsid w:val="006A188C"/>
    <w:rsid w:val="00755C5F"/>
    <w:rsid w:val="007B6B95"/>
    <w:rsid w:val="007D2ECC"/>
    <w:rsid w:val="00803DA8"/>
    <w:rsid w:val="00847DBC"/>
    <w:rsid w:val="00857F7E"/>
    <w:rsid w:val="009210E4"/>
    <w:rsid w:val="009339CB"/>
    <w:rsid w:val="009E40E1"/>
    <w:rsid w:val="00A1310C"/>
    <w:rsid w:val="00A13D2D"/>
    <w:rsid w:val="00A65107"/>
    <w:rsid w:val="00AC0518"/>
    <w:rsid w:val="00AC65B9"/>
    <w:rsid w:val="00AE7487"/>
    <w:rsid w:val="00B1783A"/>
    <w:rsid w:val="00B64FAF"/>
    <w:rsid w:val="00B87880"/>
    <w:rsid w:val="00BF37BD"/>
    <w:rsid w:val="00C13782"/>
    <w:rsid w:val="00CD5089"/>
    <w:rsid w:val="00CF099C"/>
    <w:rsid w:val="00D47A97"/>
    <w:rsid w:val="00D93F4C"/>
    <w:rsid w:val="00E034C0"/>
    <w:rsid w:val="00E22605"/>
    <w:rsid w:val="00E53338"/>
    <w:rsid w:val="00E6488E"/>
    <w:rsid w:val="00E70BAA"/>
    <w:rsid w:val="00E97AF9"/>
    <w:rsid w:val="00EC735C"/>
    <w:rsid w:val="00EE5B1D"/>
    <w:rsid w:val="00F41874"/>
    <w:rsid w:val="00F42C42"/>
    <w:rsid w:val="00F50FCA"/>
    <w:rsid w:val="00F77BEB"/>
    <w:rsid w:val="00FA3109"/>
    <w:rsid w:val="00FB5DEB"/>
    <w:rsid w:val="00FB6B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499F"/>
  <w15:docId w15:val="{2AD7C566-1A63-4251-9017-7C8FE348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E1AED"/>
  </w:style>
  <w:style w:type="paragraph" w:styleId="Kop1">
    <w:name w:val="heading 1"/>
    <w:basedOn w:val="Standaard"/>
    <w:next w:val="Standaard"/>
    <w:link w:val="Kop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Kop2">
    <w:name w:val="heading 2"/>
    <w:basedOn w:val="Standaard"/>
    <w:next w:val="Standaard"/>
    <w:link w:val="Kop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Kop3">
    <w:name w:val="heading 3"/>
    <w:basedOn w:val="Standaard"/>
    <w:next w:val="Standaard"/>
    <w:link w:val="Kop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Kop4">
    <w:name w:val="heading 4"/>
    <w:basedOn w:val="Standaard"/>
    <w:next w:val="Standaard"/>
    <w:link w:val="Kop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Kop5">
    <w:name w:val="heading 5"/>
    <w:basedOn w:val="Standaard"/>
    <w:next w:val="Standaard"/>
    <w:link w:val="Kop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Kop6">
    <w:name w:val="heading 6"/>
    <w:basedOn w:val="Standaard"/>
    <w:next w:val="Standaard"/>
    <w:link w:val="Kop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Kop7">
    <w:name w:val="heading 7"/>
    <w:basedOn w:val="Standaard"/>
    <w:next w:val="Standaard"/>
    <w:link w:val="Kop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Kop8">
    <w:name w:val="heading 8"/>
    <w:basedOn w:val="Standaard"/>
    <w:next w:val="Standaard"/>
    <w:link w:val="Kop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Kop9">
    <w:name w:val="heading 9"/>
    <w:basedOn w:val="Standaard"/>
    <w:next w:val="Standaard"/>
    <w:link w:val="Kop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Kop2Char">
    <w:name w:val="Kop 2 Char"/>
    <w:basedOn w:val="Standaardalinea-lettertype"/>
    <w:link w:val="Kop2"/>
    <w:uiPriority w:val="9"/>
    <w:rPr>
      <w:rFonts w:asciiTheme="majorHAnsi" w:eastAsiaTheme="majorEastAsia" w:hAnsiTheme="majorHAnsi" w:cstheme="majorBidi"/>
      <w:caps/>
      <w:spacing w:val="15"/>
      <w:shd w:val="clear" w:color="auto" w:fill="C9ECFC" w:themeFill="text2" w:themeFillTint="33"/>
    </w:rPr>
  </w:style>
  <w:style w:type="character" w:customStyle="1" w:styleId="Kop3Char">
    <w:name w:val="Kop 3 Char"/>
    <w:basedOn w:val="Standaardalinea-lettertype"/>
    <w:link w:val="Kop3"/>
    <w:uiPriority w:val="9"/>
    <w:rPr>
      <w:rFonts w:asciiTheme="majorHAnsi" w:eastAsiaTheme="majorEastAsia" w:hAnsiTheme="majorHAnsi" w:cstheme="majorBidi"/>
      <w:caps/>
      <w:color w:val="044D6E" w:themeColor="text2" w:themeShade="80"/>
      <w:spacing w:val="15"/>
    </w:rPr>
  </w:style>
  <w:style w:type="character" w:customStyle="1" w:styleId="Kop4Char">
    <w:name w:val="Kop 4 Char"/>
    <w:basedOn w:val="Standaardalinea-lettertype"/>
    <w:link w:val="Kop4"/>
    <w:uiPriority w:val="9"/>
    <w:rPr>
      <w:rFonts w:asciiTheme="majorHAnsi" w:eastAsiaTheme="majorEastAsia" w:hAnsiTheme="majorHAnsi" w:cstheme="majorBidi"/>
      <w:caps/>
      <w:color w:val="0673A5" w:themeColor="text2" w:themeShade="BF"/>
      <w:spacing w:val="10"/>
    </w:rPr>
  </w:style>
  <w:style w:type="character" w:customStyle="1" w:styleId="Kop5Char">
    <w:name w:val="Kop 5 Char"/>
    <w:basedOn w:val="Standaardalinea-lettertype"/>
    <w:link w:val="Kop5"/>
    <w:uiPriority w:val="9"/>
    <w:rPr>
      <w:rFonts w:asciiTheme="majorHAnsi" w:eastAsiaTheme="majorEastAsia" w:hAnsiTheme="majorHAnsi" w:cstheme="majorBidi"/>
      <w:caps/>
      <w:color w:val="0673A5" w:themeColor="text2" w:themeShade="BF"/>
      <w:spacing w:val="10"/>
    </w:rPr>
  </w:style>
  <w:style w:type="character" w:customStyle="1" w:styleId="Kop6Char">
    <w:name w:val="Kop 6 Char"/>
    <w:basedOn w:val="Standaardalinea-lettertype"/>
    <w:link w:val="Kop6"/>
    <w:uiPriority w:val="9"/>
    <w:rPr>
      <w:rFonts w:asciiTheme="majorHAnsi" w:eastAsiaTheme="majorEastAsia" w:hAnsiTheme="majorHAnsi" w:cstheme="majorBidi"/>
      <w:caps/>
      <w:color w:val="0673A5" w:themeColor="text2" w:themeShade="BF"/>
      <w:spacing w:val="10"/>
    </w:rPr>
  </w:style>
  <w:style w:type="character" w:customStyle="1" w:styleId="Kop7Char">
    <w:name w:val="Kop 7 Char"/>
    <w:basedOn w:val="Standaardalinea-lettertype"/>
    <w:link w:val="Kop7"/>
    <w:uiPriority w:val="9"/>
    <w:rPr>
      <w:rFonts w:asciiTheme="majorHAnsi" w:eastAsiaTheme="majorEastAsia" w:hAnsiTheme="majorHAnsi" w:cstheme="majorBidi"/>
      <w:caps/>
      <w:color w:val="0673A5" w:themeColor="text2" w:themeShade="BF"/>
      <w:spacing w:val="10"/>
    </w:rPr>
  </w:style>
  <w:style w:type="character" w:customStyle="1" w:styleId="Kop8Char">
    <w:name w:val="Kop 8 Char"/>
    <w:basedOn w:val="Standaardalinea-lettertype"/>
    <w:link w:val="Kop8"/>
    <w:uiPriority w:val="9"/>
    <w:semiHidden/>
    <w:rsid w:val="00D47A97"/>
    <w:rPr>
      <w:rFonts w:asciiTheme="majorHAnsi" w:eastAsiaTheme="majorEastAsia" w:hAnsiTheme="majorHAnsi" w:cstheme="majorBidi"/>
      <w:caps/>
      <w:spacing w:val="10"/>
      <w:szCs w:val="18"/>
    </w:rPr>
  </w:style>
  <w:style w:type="character" w:customStyle="1" w:styleId="Kop9Char">
    <w:name w:val="Kop 9 Char"/>
    <w:basedOn w:val="Standaardalinea-lettertype"/>
    <w:link w:val="Kop9"/>
    <w:uiPriority w:val="9"/>
    <w:semiHidden/>
    <w:rsid w:val="00D47A97"/>
    <w:rPr>
      <w:rFonts w:asciiTheme="majorHAnsi" w:eastAsiaTheme="majorEastAsia" w:hAnsiTheme="majorHAnsi" w:cstheme="majorBidi"/>
      <w:i/>
      <w:iCs/>
      <w:caps/>
      <w:spacing w:val="10"/>
      <w:szCs w:val="18"/>
    </w:rPr>
  </w:style>
  <w:style w:type="table" w:styleId="Tabelraster">
    <w:name w:val="Table Grid"/>
    <w:basedOn w:val="Standaardtabe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el">
    <w:name w:val="Title"/>
    <w:basedOn w:val="Standaard"/>
    <w:link w:val="Titel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elChar">
    <w:name w:val="Titel Char"/>
    <w:basedOn w:val="Standaardalinea-lettertype"/>
    <w:link w:val="Titel"/>
    <w:uiPriority w:val="1"/>
    <w:rsid w:val="00A1310C"/>
    <w:rPr>
      <w:rFonts w:asciiTheme="majorHAnsi" w:eastAsiaTheme="majorEastAsia" w:hAnsiTheme="majorHAnsi" w:cstheme="majorBidi"/>
      <w:caps/>
      <w:color w:val="0673A5" w:themeColor="text2" w:themeShade="BF"/>
      <w:spacing w:val="10"/>
      <w:sz w:val="52"/>
      <w:szCs w:val="52"/>
    </w:rPr>
  </w:style>
  <w:style w:type="paragraph" w:styleId="Ondertitel">
    <w:name w:val="Subtitle"/>
    <w:basedOn w:val="Standaard"/>
    <w:next w:val="Standaard"/>
    <w:link w:val="OndertitelChar"/>
    <w:uiPriority w:val="11"/>
    <w:semiHidden/>
    <w:unhideWhenUsed/>
    <w:qFormat/>
    <w:rsid w:val="004E1AED"/>
    <w:pPr>
      <w:numPr>
        <w:ilvl w:val="1"/>
      </w:numPr>
      <w:spacing w:after="160"/>
    </w:pPr>
    <w:rPr>
      <w:color w:val="404040" w:themeColor="text1" w:themeTint="E6"/>
    </w:rPr>
  </w:style>
  <w:style w:type="character" w:customStyle="1" w:styleId="OndertitelChar">
    <w:name w:val="Ondertitel Char"/>
    <w:basedOn w:val="Standaardalinea-lettertype"/>
    <w:link w:val="Ondertitel"/>
    <w:uiPriority w:val="11"/>
    <w:semiHidden/>
    <w:rsid w:val="004E1AED"/>
    <w:rPr>
      <w:color w:val="404040" w:themeColor="text1" w:themeTint="E6"/>
    </w:rPr>
  </w:style>
  <w:style w:type="character" w:styleId="Intensievebenadrukking">
    <w:name w:val="Intense Emphasis"/>
    <w:basedOn w:val="Standaardalinea-lettertype"/>
    <w:uiPriority w:val="21"/>
    <w:semiHidden/>
    <w:unhideWhenUsed/>
    <w:qFormat/>
    <w:rsid w:val="004E1AED"/>
    <w:rPr>
      <w:i/>
      <w:iCs/>
      <w:color w:val="806000" w:themeColor="accent1" w:themeShade="80"/>
    </w:rPr>
  </w:style>
  <w:style w:type="paragraph" w:styleId="Duidelijkcitaat">
    <w:name w:val="Intense Quote"/>
    <w:basedOn w:val="Standaard"/>
    <w:next w:val="Standaard"/>
    <w:link w:val="Duidelijkcitaat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DuidelijkcitaatChar">
    <w:name w:val="Duidelijk citaat Char"/>
    <w:basedOn w:val="Standaardalinea-lettertype"/>
    <w:link w:val="Duidelijkcitaat"/>
    <w:uiPriority w:val="30"/>
    <w:semiHidden/>
    <w:rsid w:val="004E1AED"/>
    <w:rPr>
      <w:i/>
      <w:iCs/>
      <w:color w:val="806000" w:themeColor="accent1" w:themeShade="80"/>
    </w:rPr>
  </w:style>
  <w:style w:type="character" w:styleId="Intensieveverwijzing">
    <w:name w:val="Intense Reference"/>
    <w:basedOn w:val="Standaardalinea-lettertype"/>
    <w:uiPriority w:val="32"/>
    <w:semiHidden/>
    <w:unhideWhenUsed/>
    <w:qFormat/>
    <w:rsid w:val="004E1AED"/>
    <w:rPr>
      <w:b/>
      <w:bCs/>
      <w:caps w:val="0"/>
      <w:smallCaps/>
      <w:color w:val="806000" w:themeColor="accent1" w:themeShade="80"/>
      <w:spacing w:val="5"/>
    </w:rPr>
  </w:style>
  <w:style w:type="paragraph" w:styleId="Bijschrift">
    <w:name w:val="caption"/>
    <w:basedOn w:val="Standaard"/>
    <w:next w:val="Standaard"/>
    <w:uiPriority w:val="35"/>
    <w:unhideWhenUsed/>
    <w:qFormat/>
    <w:rsid w:val="00D47A97"/>
    <w:rPr>
      <w:b/>
      <w:bCs/>
      <w:color w:val="0673A5" w:themeColor="text2" w:themeShade="BF"/>
      <w:szCs w:val="16"/>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rsid w:val="00D47A97"/>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D47A97"/>
    <w:rPr>
      <w:rFonts w:ascii="Segoe UI" w:hAnsi="Segoe UI" w:cs="Segoe UI"/>
      <w:szCs w:val="18"/>
    </w:rPr>
  </w:style>
  <w:style w:type="paragraph" w:styleId="Plattetekst3">
    <w:name w:val="Body Text 3"/>
    <w:basedOn w:val="Standaard"/>
    <w:link w:val="Plattetekst3Char"/>
    <w:uiPriority w:val="99"/>
    <w:semiHidden/>
    <w:unhideWhenUsed/>
    <w:rsid w:val="00D47A97"/>
    <w:pPr>
      <w:spacing w:after="120"/>
    </w:pPr>
    <w:rPr>
      <w:szCs w:val="16"/>
    </w:rPr>
  </w:style>
  <w:style w:type="character" w:customStyle="1" w:styleId="Plattetekst3Char">
    <w:name w:val="Platte tekst 3 Char"/>
    <w:basedOn w:val="Standaardalinea-lettertype"/>
    <w:link w:val="Plattetekst3"/>
    <w:uiPriority w:val="99"/>
    <w:semiHidden/>
    <w:rsid w:val="00D47A97"/>
    <w:rPr>
      <w:szCs w:val="16"/>
    </w:rPr>
  </w:style>
  <w:style w:type="paragraph" w:styleId="Plattetekstinspringen3">
    <w:name w:val="Body Text Indent 3"/>
    <w:basedOn w:val="Standaard"/>
    <w:link w:val="Plattetekstinspringen3Char"/>
    <w:uiPriority w:val="99"/>
    <w:semiHidden/>
    <w:unhideWhenUsed/>
    <w:rsid w:val="00D47A97"/>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D47A97"/>
    <w:rPr>
      <w:szCs w:val="16"/>
    </w:rPr>
  </w:style>
  <w:style w:type="character" w:styleId="Verwijzingopmerking">
    <w:name w:val="annotation reference"/>
    <w:basedOn w:val="Standaardalinea-lettertype"/>
    <w:uiPriority w:val="99"/>
    <w:semiHidden/>
    <w:unhideWhenUsed/>
    <w:rsid w:val="00D47A97"/>
    <w:rPr>
      <w:sz w:val="22"/>
      <w:szCs w:val="16"/>
    </w:rPr>
  </w:style>
  <w:style w:type="paragraph" w:styleId="Tekstopmerking">
    <w:name w:val="annotation text"/>
    <w:basedOn w:val="Standaard"/>
    <w:link w:val="TekstopmerkingChar"/>
    <w:uiPriority w:val="99"/>
    <w:semiHidden/>
    <w:unhideWhenUsed/>
    <w:rsid w:val="00D47A97"/>
    <w:pPr>
      <w:spacing w:line="240" w:lineRule="auto"/>
    </w:pPr>
    <w:rPr>
      <w:szCs w:val="20"/>
    </w:rPr>
  </w:style>
  <w:style w:type="character" w:customStyle="1" w:styleId="TekstopmerkingChar">
    <w:name w:val="Tekst opmerking Char"/>
    <w:basedOn w:val="Standaardalinea-lettertype"/>
    <w:link w:val="Tekstopmerking"/>
    <w:uiPriority w:val="99"/>
    <w:semiHidden/>
    <w:rsid w:val="00D47A97"/>
    <w:rPr>
      <w:szCs w:val="20"/>
    </w:rPr>
  </w:style>
  <w:style w:type="paragraph" w:styleId="Onderwerpvanopmerking">
    <w:name w:val="annotation subject"/>
    <w:basedOn w:val="Tekstopmerking"/>
    <w:next w:val="Tekstopmerking"/>
    <w:link w:val="OnderwerpvanopmerkingChar"/>
    <w:uiPriority w:val="99"/>
    <w:semiHidden/>
    <w:unhideWhenUsed/>
    <w:rsid w:val="00D47A97"/>
    <w:rPr>
      <w:b/>
      <w:bCs/>
    </w:rPr>
  </w:style>
  <w:style w:type="character" w:customStyle="1" w:styleId="OnderwerpvanopmerkingChar">
    <w:name w:val="Onderwerp van opmerking Char"/>
    <w:basedOn w:val="TekstopmerkingChar"/>
    <w:link w:val="Onderwerpvanopmerking"/>
    <w:uiPriority w:val="99"/>
    <w:semiHidden/>
    <w:rsid w:val="00D47A97"/>
    <w:rPr>
      <w:b/>
      <w:bCs/>
      <w:szCs w:val="20"/>
    </w:rPr>
  </w:style>
  <w:style w:type="paragraph" w:styleId="Documentstructuur">
    <w:name w:val="Document Map"/>
    <w:basedOn w:val="Standaard"/>
    <w:link w:val="DocumentstructuurChar"/>
    <w:uiPriority w:val="99"/>
    <w:semiHidden/>
    <w:unhideWhenUsed/>
    <w:rsid w:val="00D47A97"/>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D47A97"/>
    <w:rPr>
      <w:rFonts w:ascii="Segoe UI" w:hAnsi="Segoe UI" w:cs="Segoe UI"/>
      <w:szCs w:val="16"/>
    </w:rPr>
  </w:style>
  <w:style w:type="paragraph" w:styleId="Eindnoottekst">
    <w:name w:val="endnote text"/>
    <w:basedOn w:val="Standaard"/>
    <w:link w:val="EindnoottekstChar"/>
    <w:uiPriority w:val="99"/>
    <w:semiHidden/>
    <w:unhideWhenUsed/>
    <w:rsid w:val="00D47A97"/>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D47A97"/>
    <w:rPr>
      <w:szCs w:val="20"/>
    </w:rPr>
  </w:style>
  <w:style w:type="paragraph" w:styleId="Afzender">
    <w:name w:val="envelope return"/>
    <w:basedOn w:val="Standaard"/>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D47A97"/>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D47A97"/>
    <w:rPr>
      <w:szCs w:val="20"/>
    </w:rPr>
  </w:style>
  <w:style w:type="character" w:styleId="HTMLCode">
    <w:name w:val="HTML Code"/>
    <w:basedOn w:val="Standaardalinea-lettertype"/>
    <w:uiPriority w:val="99"/>
    <w:semiHidden/>
    <w:unhideWhenUsed/>
    <w:rsid w:val="00D47A97"/>
    <w:rPr>
      <w:rFonts w:ascii="Consolas" w:hAnsi="Consolas"/>
      <w:sz w:val="22"/>
      <w:szCs w:val="20"/>
    </w:rPr>
  </w:style>
  <w:style w:type="character" w:styleId="HTML-toetsenbord">
    <w:name w:val="HTML Keyboard"/>
    <w:basedOn w:val="Standaardalinea-lettertype"/>
    <w:uiPriority w:val="99"/>
    <w:semiHidden/>
    <w:unhideWhenUsed/>
    <w:rsid w:val="00D47A97"/>
    <w:rPr>
      <w:rFonts w:ascii="Consolas" w:hAnsi="Consolas"/>
      <w:sz w:val="22"/>
      <w:szCs w:val="20"/>
    </w:rPr>
  </w:style>
  <w:style w:type="paragraph" w:styleId="HTML-voorafopgemaakt">
    <w:name w:val="HTML Preformatted"/>
    <w:basedOn w:val="Standaard"/>
    <w:link w:val="HTML-voorafopgemaaktChar"/>
    <w:uiPriority w:val="99"/>
    <w:semiHidden/>
    <w:unhideWhenUsed/>
    <w:rsid w:val="00D47A97"/>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D47A97"/>
    <w:rPr>
      <w:rFonts w:ascii="Consolas" w:hAnsi="Consolas"/>
      <w:szCs w:val="20"/>
    </w:rPr>
  </w:style>
  <w:style w:type="character" w:styleId="HTML-schrijfmachine">
    <w:name w:val="HTML Typewriter"/>
    <w:basedOn w:val="Standaardalinea-lettertype"/>
    <w:uiPriority w:val="99"/>
    <w:semiHidden/>
    <w:unhideWhenUsed/>
    <w:rsid w:val="00D47A97"/>
    <w:rPr>
      <w:rFonts w:ascii="Consolas" w:hAnsi="Consolas"/>
      <w:sz w:val="22"/>
      <w:szCs w:val="20"/>
    </w:rPr>
  </w:style>
  <w:style w:type="paragraph" w:styleId="Macrotekst">
    <w:name w:val="macro"/>
    <w:link w:val="Macroteks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D47A97"/>
    <w:rPr>
      <w:rFonts w:ascii="Consolas" w:hAnsi="Consolas"/>
      <w:szCs w:val="20"/>
    </w:rPr>
  </w:style>
  <w:style w:type="paragraph" w:styleId="Tekstzonderopmaak">
    <w:name w:val="Plain Text"/>
    <w:basedOn w:val="Standaard"/>
    <w:link w:val="TekstzonderopmaakChar"/>
    <w:uiPriority w:val="99"/>
    <w:semiHidden/>
    <w:unhideWhenUsed/>
    <w:rsid w:val="00D47A97"/>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D47A97"/>
    <w:rPr>
      <w:rFonts w:ascii="Consolas" w:hAnsi="Consolas"/>
      <w:szCs w:val="21"/>
    </w:rPr>
  </w:style>
  <w:style w:type="paragraph" w:styleId="Bloktekst">
    <w:name w:val="Block Text"/>
    <w:basedOn w:val="Standaard"/>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kstvantijdelijkeaanduiding">
    <w:name w:val="Placeholder Text"/>
    <w:basedOn w:val="Standaardalinea-lettertype"/>
    <w:uiPriority w:val="99"/>
    <w:semiHidden/>
    <w:rsid w:val="00A1310C"/>
    <w:rPr>
      <w:color w:val="3C3C3C" w:themeColor="background2" w:themeShade="40"/>
    </w:rPr>
  </w:style>
  <w:style w:type="paragraph" w:styleId="Koptekst">
    <w:name w:val="header"/>
    <w:basedOn w:val="Standaard"/>
    <w:link w:val="KoptekstChar"/>
    <w:uiPriority w:val="99"/>
    <w:unhideWhenUsed/>
    <w:rsid w:val="004E1AED"/>
    <w:pPr>
      <w:spacing w:before="0" w:after="0" w:line="240" w:lineRule="auto"/>
    </w:pPr>
  </w:style>
  <w:style w:type="character" w:customStyle="1" w:styleId="KoptekstChar">
    <w:name w:val="Koptekst Char"/>
    <w:basedOn w:val="Standaardalinea-lettertype"/>
    <w:link w:val="Koptekst"/>
    <w:uiPriority w:val="99"/>
    <w:rsid w:val="004E1AED"/>
  </w:style>
  <w:style w:type="paragraph" w:styleId="Voettekst">
    <w:name w:val="footer"/>
    <w:basedOn w:val="Standaard"/>
    <w:link w:val="VoettekstChar"/>
    <w:uiPriority w:val="99"/>
    <w:unhideWhenUsed/>
    <w:rsid w:val="004E1AED"/>
    <w:pPr>
      <w:spacing w:before="0" w:after="0" w:line="240" w:lineRule="auto"/>
    </w:pPr>
  </w:style>
  <w:style w:type="character" w:customStyle="1" w:styleId="VoettekstChar">
    <w:name w:val="Voettekst Char"/>
    <w:basedOn w:val="Standaardalinea-lettertype"/>
    <w:link w:val="Voettekst"/>
    <w:uiPriority w:val="99"/>
    <w:rsid w:val="004E1AED"/>
  </w:style>
  <w:style w:type="paragraph" w:styleId="Lijstalinea">
    <w:name w:val="List Paragraph"/>
    <w:basedOn w:val="Standaard"/>
    <w:uiPriority w:val="34"/>
    <w:unhideWhenUsed/>
    <w:qFormat/>
    <w:rsid w:val="00654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320">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216412">
      <w:bodyDiv w:val="1"/>
      <w:marLeft w:val="0"/>
      <w:marRight w:val="0"/>
      <w:marTop w:val="0"/>
      <w:marBottom w:val="0"/>
      <w:divBdr>
        <w:top w:val="none" w:sz="0" w:space="0" w:color="auto"/>
        <w:left w:val="none" w:sz="0" w:space="0" w:color="auto"/>
        <w:bottom w:val="none" w:sz="0" w:space="0" w:color="auto"/>
        <w:right w:val="none" w:sz="0" w:space="0" w:color="auto"/>
      </w:divBdr>
    </w:div>
    <w:div w:id="47869227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7071243">
      <w:bodyDiv w:val="1"/>
      <w:marLeft w:val="0"/>
      <w:marRight w:val="0"/>
      <w:marTop w:val="0"/>
      <w:marBottom w:val="0"/>
      <w:divBdr>
        <w:top w:val="none" w:sz="0" w:space="0" w:color="auto"/>
        <w:left w:val="none" w:sz="0" w:space="0" w:color="auto"/>
        <w:bottom w:val="none" w:sz="0" w:space="0" w:color="auto"/>
        <w:right w:val="none" w:sz="0" w:space="0" w:color="auto"/>
      </w:divBdr>
    </w:div>
    <w:div w:id="9048722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6025072">
      <w:bodyDiv w:val="1"/>
      <w:marLeft w:val="0"/>
      <w:marRight w:val="0"/>
      <w:marTop w:val="0"/>
      <w:marBottom w:val="0"/>
      <w:divBdr>
        <w:top w:val="none" w:sz="0" w:space="0" w:color="auto"/>
        <w:left w:val="none" w:sz="0" w:space="0" w:color="auto"/>
        <w:bottom w:val="none" w:sz="0" w:space="0" w:color="auto"/>
        <w:right w:val="none" w:sz="0" w:space="0" w:color="auto"/>
      </w:divBdr>
    </w:div>
    <w:div w:id="1283726529">
      <w:bodyDiv w:val="1"/>
      <w:marLeft w:val="0"/>
      <w:marRight w:val="0"/>
      <w:marTop w:val="0"/>
      <w:marBottom w:val="0"/>
      <w:divBdr>
        <w:top w:val="none" w:sz="0" w:space="0" w:color="auto"/>
        <w:left w:val="none" w:sz="0" w:space="0" w:color="auto"/>
        <w:bottom w:val="none" w:sz="0" w:space="0" w:color="auto"/>
        <w:right w:val="none" w:sz="0" w:space="0" w:color="auto"/>
      </w:divBdr>
    </w:div>
    <w:div w:id="1291746359">
      <w:bodyDiv w:val="1"/>
      <w:marLeft w:val="0"/>
      <w:marRight w:val="0"/>
      <w:marTop w:val="0"/>
      <w:marBottom w:val="0"/>
      <w:divBdr>
        <w:top w:val="none" w:sz="0" w:space="0" w:color="auto"/>
        <w:left w:val="none" w:sz="0" w:space="0" w:color="auto"/>
        <w:bottom w:val="none" w:sz="0" w:space="0" w:color="auto"/>
        <w:right w:val="none" w:sz="0" w:space="0" w:color="auto"/>
      </w:divBdr>
    </w:div>
    <w:div w:id="149051762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64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14\AppData\Roaming\Microsoft\Templates\Ontwerp%20Gestreept%20(lee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7997796-1F88-4376-9505-A832E7CC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Ontwerp Gestreept (leeg).dotx</Template>
  <TotalTime>0</TotalTime>
  <Pages>24</Pages>
  <Words>15736</Words>
  <Characters>86552</Characters>
  <Application>Microsoft Office Word</Application>
  <DocSecurity>0</DocSecurity>
  <Lines>721</Lines>
  <Paragraphs>204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Bruinenberg, Jan</dc:creator>
  <cp:lastModifiedBy>Bruinenberg, Jan</cp:lastModifiedBy>
  <cp:revision>8</cp:revision>
  <dcterms:created xsi:type="dcterms:W3CDTF">2019-10-12T07:49:00Z</dcterms:created>
  <dcterms:modified xsi:type="dcterms:W3CDTF">2019-10-14T06:33:00Z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