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6A2D97" w:rsidRDefault="00006090" w:rsidP="00D3117C">
      <w:pPr>
        <w:spacing w:line="240" w:lineRule="atLeast"/>
        <w:rPr>
          <w:rFonts w:asciiTheme="minorHAnsi" w:hAnsiTheme="minorHAnsi"/>
          <w:b/>
          <w:sz w:val="22"/>
          <w:szCs w:val="20"/>
        </w:rPr>
      </w:pPr>
      <w:r>
        <w:rPr>
          <w:rFonts w:asciiTheme="minorHAnsi" w:hAnsiTheme="minorHAnsi"/>
          <w:b/>
          <w:sz w:val="22"/>
          <w:szCs w:val="20"/>
        </w:rPr>
        <w:t xml:space="preserve">  M</w:t>
      </w:r>
      <w:r w:rsidR="00D3117C" w:rsidRPr="006A2D97">
        <w:rPr>
          <w:rFonts w:asciiTheme="minorHAnsi" w:hAnsiTheme="minorHAnsi"/>
          <w:b/>
          <w:sz w:val="22"/>
          <w:szCs w:val="20"/>
        </w:rPr>
        <w:t>EMO</w:t>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6B9B465F" w:rsidR="00D3117C" w:rsidRPr="003E6CEC" w:rsidRDefault="00D3117C" w:rsidP="008E4C87">
            <w:pPr>
              <w:spacing w:line="240" w:lineRule="atLeast"/>
              <w:rPr>
                <w:rFonts w:asciiTheme="minorHAnsi" w:hAnsiTheme="minorHAnsi"/>
                <w:sz w:val="22"/>
                <w:szCs w:val="20"/>
              </w:rPr>
            </w:pPr>
            <w:r w:rsidRPr="003E6CEC">
              <w:rPr>
                <w:rFonts w:asciiTheme="minorHAnsi" w:hAnsiTheme="minorHAnsi"/>
                <w:sz w:val="22"/>
                <w:szCs w:val="20"/>
              </w:rPr>
              <w:t>2017-1</w:t>
            </w:r>
            <w:r w:rsidR="008E4C87" w:rsidRPr="003E6CEC">
              <w:rPr>
                <w:rFonts w:asciiTheme="minorHAnsi" w:hAnsiTheme="minorHAnsi"/>
                <w:sz w:val="22"/>
                <w:szCs w:val="20"/>
              </w:rPr>
              <w:t>2</w:t>
            </w:r>
            <w:r w:rsidRPr="003E6CEC">
              <w:rPr>
                <w:rFonts w:asciiTheme="minorHAnsi" w:hAnsiTheme="minorHAnsi"/>
                <w:sz w:val="22"/>
                <w:szCs w:val="20"/>
              </w:rPr>
              <w:t>-</w:t>
            </w:r>
            <w:r w:rsidR="008E4C87" w:rsidRPr="003E6CEC">
              <w:rPr>
                <w:rFonts w:asciiTheme="minorHAnsi" w:hAnsiTheme="minorHAnsi"/>
                <w:sz w:val="22"/>
                <w:szCs w:val="20"/>
              </w:rPr>
              <w:t>05</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EF5BE89" w:rsidR="00D3117C" w:rsidRPr="003E6CEC" w:rsidRDefault="00D3117C" w:rsidP="006A2D97">
            <w:pPr>
              <w:spacing w:line="240" w:lineRule="atLeast"/>
              <w:rPr>
                <w:rFonts w:asciiTheme="minorHAnsi" w:hAnsiTheme="minorHAnsi"/>
                <w:sz w:val="22"/>
                <w:szCs w:val="20"/>
              </w:rPr>
            </w:pPr>
            <w:r w:rsidRPr="003E6CEC">
              <w:rPr>
                <w:rFonts w:asciiTheme="minorHAnsi" w:hAnsiTheme="minorHAnsi"/>
                <w:sz w:val="22"/>
                <w:szCs w:val="20"/>
              </w:rPr>
              <w:t>Voorstel</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279CADAC" w14:textId="77777777" w:rsidR="00D3117C" w:rsidRPr="006A2D97" w:rsidRDefault="00D3117C" w:rsidP="00D3117C">
      <w:pPr>
        <w:spacing w:line="240" w:lineRule="atLeast"/>
        <w:rPr>
          <w:rFonts w:asciiTheme="minorHAnsi" w:hAnsiTheme="minorHAnsi"/>
          <w:b/>
          <w:sz w:val="20"/>
          <w:szCs w:val="20"/>
        </w:rPr>
      </w:pPr>
      <w:r w:rsidRPr="006A2D97">
        <w:rPr>
          <w:rFonts w:asciiTheme="minorHAnsi" w:hAnsiTheme="minorHAnsi"/>
          <w:b/>
          <w:sz w:val="20"/>
          <w:szCs w:val="20"/>
        </w:rPr>
        <w:t>Achtergrond</w:t>
      </w:r>
    </w:p>
    <w:p w14:paraId="6CFE49CD" w14:textId="6BA82B4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zoals bedoeld in wat KKG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D3117C">
      <w:pPr>
        <w:rPr>
          <w:rFonts w:asciiTheme="minorHAnsi" w:hAnsiTheme="minorHAnsi"/>
          <w:b/>
          <w:bCs/>
          <w:sz w:val="20"/>
          <w:szCs w:val="20"/>
        </w:rPr>
      </w:pPr>
      <w:r w:rsidRPr="006A2D97">
        <w:rPr>
          <w:rFonts w:asciiTheme="minorHAnsi" w:hAnsiTheme="minorHAnsi"/>
          <w:b/>
          <w:bCs/>
          <w:sz w:val="20"/>
          <w:szCs w:val="20"/>
        </w:rPr>
        <w:t>Wens (tekst Marco Brattinga)</w:t>
      </w:r>
    </w:p>
    <w:p w14:paraId="7C49F352" w14:textId="621206B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Hiermee wordt het mogelijk om op een eenduidige wijze KKG informatiemodellen om te zetten naar Linked Data concepten, met volledig behoudt van de betekenis zoals beoogd door de originele auteur. Dit maakt het mogelijk dat Geonovum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Informatiemodellen worden gebruikt om een beschrijving te geven van de wijze waarop een administratie is georganiseerd.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er kan ook verondersteld worden dat de beschrijving van het domein en de beschrijving van de administratie </w:t>
      </w:r>
      <w:r w:rsidRPr="006A2D97">
        <w:rPr>
          <w:rFonts w:asciiTheme="minorHAnsi" w:hAnsiTheme="minorHAnsi"/>
          <w:i/>
          <w:iCs/>
          <w:sz w:val="20"/>
          <w:szCs w:val="20"/>
        </w:rPr>
        <w:t>by design</w:t>
      </w:r>
      <w:r w:rsidRPr="006A2D97">
        <w:rPr>
          <w:rFonts w:asciiTheme="minorHAnsi" w:hAnsiTheme="minorHAnsi"/>
          <w:sz w:val="20"/>
          <w:szCs w:val="20"/>
        </w:rPr>
        <w:t xml:space="preserve"> overeen komen. Er kan gekozen worden om een informatiemodel te maken met alleen de beschrijving van de administratie, met verwijzingen naar de beschrijving van het domein, zonder deze beschrijvingen zelf op te nemen in de administratie. En ook kan een informatiemodel alleen bedoeld zijn als een beschrijving van het domein. Alle varianten zijn denkbaar.</w:t>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Het huidige KKG metamodel mist op dit moment de mogelijkheid om dergelijke nuances aan te brengen. Aangezien de Linked Data vocabulaires altijd expliciet onderscheid maken tussen de beschrijving van het domein zelf (op basis van SKOS concepts)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Geonovum), neemt daarom een “veilige” aanname, en vertaalt een KKG informatiemodel altijd puur naar RDF/RDFS/OWL en SHACL, waarbij geen SKOS concepts worden aangemaakt (maar eventueel wel gebruik gemaakt wordt van eigenschappen als skos:definition).</w:t>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het toevoegen van een stereotype “Concept” en een tag “conceptverwijzing”.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D3117C">
      <w:pPr>
        <w:rPr>
          <w:rFonts w:asciiTheme="minorHAnsi" w:hAnsiTheme="minorHAnsi"/>
          <w:b/>
          <w:sz w:val="20"/>
          <w:szCs w:val="20"/>
        </w:rPr>
      </w:pPr>
      <w:r w:rsidRPr="006A2D97">
        <w:rPr>
          <w:rFonts w:asciiTheme="minorHAnsi" w:hAnsiTheme="minorHAnsi"/>
          <w:b/>
          <w:sz w:val="20"/>
          <w:szCs w:val="20"/>
        </w:rPr>
        <w:lastRenderedPageBreak/>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402E69B9"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Geonovum </w:t>
      </w:r>
      <w:r w:rsidR="00D3117C" w:rsidRPr="006A2D97">
        <w:rPr>
          <w:rFonts w:asciiTheme="minorHAnsi" w:hAnsiTheme="minorHAnsi"/>
          <w:sz w:val="20"/>
          <w:szCs w:val="20"/>
        </w:rPr>
        <w:t>we 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use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ype (attribuuttype enz)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D3117C">
      <w:pPr>
        <w:spacing w:line="240" w:lineRule="auto"/>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7777777"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semantisch model van begrippen, zoals bedoeld met skos:concepts en closeMatch en exactMatch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r>
        <w:rPr>
          <w:rFonts w:ascii="Calibri" w:hAnsi="Calibri"/>
          <w:sz w:val="20"/>
          <w:szCs w:val="20"/>
        </w:rPr>
        <w:t>H</w:t>
      </w:r>
      <w:r w:rsidRPr="006A179C">
        <w:rPr>
          <w:rFonts w:ascii="Calibri" w:hAnsi="Calibri"/>
          <w:sz w:val="20"/>
          <w:szCs w:val="20"/>
        </w:rPr>
        <w:t xml:space="preserve">et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 xml:space="preserve">(of een logisch model die conceptueel georiënteerd is, en niet technisch georiënteerd 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bij 1 terug te kunnen traceren, of invult in een IM om daarvan een begrippen kader te kunnen genereren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p>
    <w:p w14:paraId="6A87E7B7"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Als waarde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waarde in een waardelijst kan een begrip zijn, of niet (0..1);</w:t>
      </w:r>
    </w:p>
    <w:p w14:paraId="768BCC85"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In een UML klasse/attribuut/relatie/waarde wordt verwezen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1945F8">
      <w:pPr>
        <w:spacing w:line="240" w:lineRule="auto"/>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5FC19B2D"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Het modelelement is meestal een objecttype, attribuutsoort, of gegevensgroeptype, maar wellicht zijn er meer modelelementen die een concept kunnen zijn.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r>
        <w:rPr>
          <w:rFonts w:asciiTheme="minorHAnsi" w:hAnsiTheme="minorHAnsi"/>
          <w:sz w:val="20"/>
          <w:szCs w:val="20"/>
        </w:rPr>
        <w:t>Tooling kan dan aan deze metadata herkennen of er sprake is van een concept en:</w:t>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r>
        <w:rPr>
          <w:rFonts w:asciiTheme="minorHAnsi" w:hAnsiTheme="minorHAnsi"/>
          <w:sz w:val="20"/>
          <w:szCs w:val="20"/>
        </w:rPr>
        <w:t xml:space="preserve">Zoals bedoeld bij behoefte 2, het concept genereren (in aanvulling op het model element) </w:t>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r w:rsidRPr="007F3209">
        <w:rPr>
          <w:rFonts w:asciiTheme="minorHAnsi" w:hAnsiTheme="minorHAnsi"/>
          <w:sz w:val="20"/>
          <w:szCs w:val="20"/>
        </w:rPr>
        <w:t xml:space="preserve">herkomst definitie: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r w:rsidRPr="007F3209">
        <w:rPr>
          <w:rFonts w:asciiTheme="minorHAnsi" w:hAnsiTheme="minorHAnsi"/>
          <w:sz w:val="20"/>
          <w:szCs w:val="20"/>
        </w:rPr>
        <w:t>via een nieuw metadata aspect: concept, met daarin een URI</w:t>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r w:rsidRPr="007F3209">
        <w:rPr>
          <w:rFonts w:asciiTheme="minorHAnsi" w:hAnsiTheme="minorHAnsi"/>
          <w:sz w:val="20"/>
          <w:szCs w:val="20"/>
        </w:rPr>
        <w:t xml:space="preserve">afleiden op basis van standaard afspraken </w:t>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r>
        <w:rPr>
          <w:rFonts w:asciiTheme="minorHAnsi" w:hAnsiTheme="minorHAnsi"/>
          <w:sz w:val="20"/>
          <w:szCs w:val="20"/>
        </w:rPr>
        <w:t xml:space="preserve">opnemen op de plek waar de definitie van het modelelement zit, immers, het model element is vaak 1 op 1 met het concept (als aan de orde) en de definitie staat: in de Notes. Als alleen de URI er staat, dan is het 1 op 1, als er meer staat dan alleen de URI, dan is er wat extra’s aan de hand. </w:t>
      </w:r>
      <w:bookmarkStart w:id="0" w:name="_GoBack"/>
      <w:bookmarkEnd w:id="0"/>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77777777" w:rsidR="00120696" w:rsidRDefault="00120696" w:rsidP="00D3117C">
      <w:pPr>
        <w:spacing w:line="240" w:lineRule="auto"/>
        <w:rPr>
          <w:rFonts w:asciiTheme="minorHAnsi" w:hAnsiTheme="minorHAnsi"/>
          <w:sz w:val="20"/>
          <w:szCs w:val="20"/>
        </w:rPr>
      </w:pPr>
    </w:p>
    <w:p w14:paraId="39F9936F" w14:textId="77777777" w:rsidR="0024510C" w:rsidRDefault="0024510C" w:rsidP="00D3117C">
      <w:pPr>
        <w:spacing w:line="240" w:lineRule="auto"/>
        <w:rPr>
          <w:rFonts w:asciiTheme="minorHAnsi" w:hAnsiTheme="minorHAnsi"/>
          <w:sz w:val="20"/>
          <w:szCs w:val="20"/>
        </w:rPr>
      </w:pPr>
    </w:p>
    <w:p w14:paraId="1A3AFD86" w14:textId="77777777" w:rsidR="0024510C" w:rsidRDefault="0024510C" w:rsidP="00D3117C">
      <w:pPr>
        <w:spacing w:line="240" w:lineRule="auto"/>
        <w:rPr>
          <w:rFonts w:asciiTheme="minorHAnsi" w:hAnsiTheme="minorHAnsi"/>
          <w:sz w:val="20"/>
          <w:szCs w:val="20"/>
        </w:rPr>
      </w:pPr>
    </w:p>
    <w:p w14:paraId="103B0AF7" w14:textId="77777777" w:rsidR="00EB4F59" w:rsidRDefault="00EB4F59" w:rsidP="00EB4F59">
      <w:pPr>
        <w:spacing w:line="240" w:lineRule="auto"/>
        <w:rPr>
          <w:rFonts w:asciiTheme="minorHAnsi" w:hAnsiTheme="minorHAnsi"/>
          <w:b/>
          <w:sz w:val="20"/>
          <w:szCs w:val="20"/>
        </w:rPr>
      </w:pPr>
    </w:p>
    <w:p w14:paraId="4420621F" w14:textId="77777777" w:rsidR="00EB4F59" w:rsidRDefault="00EB4F59" w:rsidP="00EB4F59">
      <w:pPr>
        <w:spacing w:line="240" w:lineRule="auto"/>
        <w:rPr>
          <w:rFonts w:asciiTheme="minorHAnsi" w:hAnsiTheme="minorHAnsi"/>
          <w:b/>
          <w:sz w:val="20"/>
          <w:szCs w:val="20"/>
        </w:rPr>
      </w:pPr>
    </w:p>
    <w:p w14:paraId="2961288A" w14:textId="77777777" w:rsidR="00EB4F59" w:rsidRDefault="00EB4F59" w:rsidP="00EB4F59">
      <w:pPr>
        <w:spacing w:line="240" w:lineRule="auto"/>
        <w:rPr>
          <w:rFonts w:asciiTheme="minorHAnsi" w:hAnsiTheme="minorHAnsi"/>
          <w:b/>
          <w:sz w:val="20"/>
          <w:szCs w:val="20"/>
        </w:rPr>
      </w:pPr>
    </w:p>
    <w:p w14:paraId="0F5CF17B" w14:textId="77777777" w:rsidR="00EB4F59" w:rsidRDefault="00EB4F59" w:rsidP="00EB4F59">
      <w:pPr>
        <w:spacing w:line="240" w:lineRule="auto"/>
        <w:rPr>
          <w:rFonts w:asciiTheme="minorHAnsi" w:hAnsiTheme="minorHAnsi"/>
          <w:b/>
          <w:sz w:val="20"/>
          <w:szCs w:val="20"/>
        </w:rPr>
      </w:pPr>
    </w:p>
    <w:p w14:paraId="7BA8A9C3" w14:textId="77777777" w:rsidR="00EB4F59" w:rsidRDefault="00EB4F59" w:rsidP="00EB4F59">
      <w:pPr>
        <w:spacing w:line="240" w:lineRule="auto"/>
        <w:rPr>
          <w:rFonts w:asciiTheme="minorHAnsi" w:hAnsiTheme="minorHAnsi"/>
          <w:b/>
          <w:sz w:val="20"/>
          <w:szCs w:val="20"/>
        </w:rPr>
      </w:pPr>
    </w:p>
    <w:p w14:paraId="108592E2" w14:textId="77777777" w:rsidR="00EB4F59" w:rsidRDefault="00EB4F59" w:rsidP="00EB4F59">
      <w:pPr>
        <w:spacing w:line="240" w:lineRule="auto"/>
        <w:rPr>
          <w:rFonts w:asciiTheme="minorHAnsi" w:hAnsiTheme="minorHAnsi"/>
          <w:b/>
          <w:sz w:val="20"/>
          <w:szCs w:val="20"/>
        </w:rPr>
      </w:pPr>
    </w:p>
    <w:p w14:paraId="6F609116" w14:textId="77777777" w:rsidR="00EB4F59" w:rsidRDefault="00EB4F59" w:rsidP="00EB4F59">
      <w:pPr>
        <w:spacing w:line="240" w:lineRule="auto"/>
        <w:rPr>
          <w:rFonts w:asciiTheme="minorHAnsi" w:hAnsiTheme="minorHAnsi"/>
          <w:b/>
          <w:sz w:val="20"/>
          <w:szCs w:val="20"/>
        </w:rPr>
      </w:pPr>
    </w:p>
    <w:p w14:paraId="66AAE08B" w14:textId="77777777" w:rsidR="00EB4F59" w:rsidRDefault="00EB4F59" w:rsidP="00EB4F59">
      <w:pPr>
        <w:spacing w:line="240" w:lineRule="auto"/>
        <w:rPr>
          <w:rFonts w:asciiTheme="minorHAnsi" w:hAnsiTheme="minorHAnsi"/>
          <w:b/>
          <w:sz w:val="20"/>
          <w:szCs w:val="20"/>
        </w:rPr>
      </w:pPr>
    </w:p>
    <w:p w14:paraId="44750F89" w14:textId="77777777" w:rsidR="00EB4F59" w:rsidRDefault="00EB4F59" w:rsidP="00EB4F59">
      <w:pPr>
        <w:spacing w:line="240" w:lineRule="auto"/>
        <w:rPr>
          <w:rFonts w:asciiTheme="minorHAnsi" w:hAnsiTheme="minorHAnsi"/>
          <w:b/>
          <w:sz w:val="20"/>
          <w:szCs w:val="20"/>
        </w:rPr>
      </w:pPr>
    </w:p>
    <w:p w14:paraId="59E1C8D8" w14:textId="77777777" w:rsidR="00EB4F59" w:rsidRDefault="00EB4F59" w:rsidP="00EB4F59">
      <w:pPr>
        <w:spacing w:line="240" w:lineRule="auto"/>
        <w:rPr>
          <w:rFonts w:asciiTheme="minorHAnsi" w:hAnsiTheme="minorHAnsi"/>
          <w:b/>
          <w:sz w:val="20"/>
          <w:szCs w:val="20"/>
        </w:rPr>
      </w:pPr>
    </w:p>
    <w:p w14:paraId="45E2EAA6" w14:textId="77777777" w:rsidR="00EB4F59" w:rsidRDefault="00EB4F59" w:rsidP="00EB4F59">
      <w:pPr>
        <w:spacing w:line="240" w:lineRule="auto"/>
        <w:rPr>
          <w:rFonts w:asciiTheme="minorHAnsi" w:hAnsiTheme="minorHAnsi"/>
          <w:b/>
          <w:sz w:val="20"/>
          <w:szCs w:val="20"/>
        </w:rPr>
      </w:pPr>
    </w:p>
    <w:p w14:paraId="2D50B687" w14:textId="77777777" w:rsidR="00EB4F59" w:rsidRDefault="00EB4F59" w:rsidP="00EB4F59">
      <w:pPr>
        <w:spacing w:line="240" w:lineRule="auto"/>
        <w:rPr>
          <w:rFonts w:asciiTheme="minorHAnsi" w:hAnsiTheme="minorHAnsi"/>
          <w:b/>
          <w:sz w:val="20"/>
          <w:szCs w:val="20"/>
        </w:rPr>
      </w:pPr>
    </w:p>
    <w:p w14:paraId="0C7712D1" w14:textId="77777777" w:rsidR="00EB4F59" w:rsidRDefault="00EB4F59" w:rsidP="00EB4F59">
      <w:pPr>
        <w:spacing w:line="240" w:lineRule="auto"/>
        <w:rPr>
          <w:rFonts w:asciiTheme="minorHAnsi" w:hAnsiTheme="minorHAnsi"/>
          <w:b/>
          <w:sz w:val="20"/>
          <w:szCs w:val="20"/>
        </w:rPr>
      </w:pPr>
    </w:p>
    <w:p w14:paraId="4F199120" w14:textId="77777777" w:rsidR="00EB4F59" w:rsidRDefault="00EB4F59" w:rsidP="00EB4F59">
      <w:pPr>
        <w:spacing w:line="240" w:lineRule="auto"/>
        <w:rPr>
          <w:rFonts w:asciiTheme="minorHAnsi" w:hAnsiTheme="minorHAnsi"/>
          <w:b/>
          <w:sz w:val="20"/>
          <w:szCs w:val="20"/>
        </w:rPr>
      </w:pPr>
    </w:p>
    <w:p w14:paraId="5636DBE3" w14:textId="77777777" w:rsidR="00026FE2" w:rsidRDefault="00026FE2">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5FDC4B92" w14:textId="0B04E7A2" w:rsidR="00EB4F59" w:rsidRDefault="00EB4F59" w:rsidP="00EB4F59">
      <w:pPr>
        <w:spacing w:line="240" w:lineRule="auto"/>
        <w:rPr>
          <w:rFonts w:asciiTheme="minorHAnsi" w:hAnsiTheme="minorHAnsi"/>
          <w:b/>
          <w:sz w:val="20"/>
          <w:szCs w:val="20"/>
        </w:rPr>
      </w:pPr>
      <w:r>
        <w:rPr>
          <w:rFonts w:asciiTheme="minorHAnsi" w:hAnsiTheme="minorHAnsi"/>
          <w:b/>
          <w:sz w:val="20"/>
          <w:szCs w:val="20"/>
        </w:rPr>
        <w:lastRenderedPageBreak/>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D3117C">
      <w:pPr>
        <w:spacing w:line="240" w:lineRule="auto"/>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D3117C">
      <w:pPr>
        <w:keepNext/>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D3117C">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D3117C">
      <w:pPr>
        <w:spacing w:line="240" w:lineRule="auto"/>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520EE">
      <w:pPr>
        <w:widowControl w:val="0"/>
        <w:autoSpaceDE w:val="0"/>
        <w:autoSpaceDN w:val="0"/>
        <w:adjustRightInd w:val="0"/>
        <w:spacing w:after="24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051FE" w14:textId="77777777" w:rsidR="005A7A55" w:rsidRDefault="005A7A55" w:rsidP="001564E5">
      <w:pPr>
        <w:spacing w:line="240" w:lineRule="auto"/>
      </w:pPr>
      <w:r>
        <w:separator/>
      </w:r>
    </w:p>
  </w:endnote>
  <w:endnote w:type="continuationSeparator" w:id="0">
    <w:p w14:paraId="10BE69FF" w14:textId="77777777" w:rsidR="005A7A55" w:rsidRDefault="005A7A55" w:rsidP="0015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960E3" w14:textId="77777777" w:rsidR="005A7A55" w:rsidRDefault="005A7A55" w:rsidP="001564E5">
      <w:pPr>
        <w:spacing w:line="240" w:lineRule="auto"/>
      </w:pPr>
      <w:r>
        <w:separator/>
      </w:r>
    </w:p>
  </w:footnote>
  <w:footnote w:type="continuationSeparator" w:id="0">
    <w:p w14:paraId="0F2707AF" w14:textId="77777777" w:rsidR="005A7A55" w:rsidRDefault="005A7A55" w:rsidP="001564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5"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7"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5"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7"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13"/>
  </w:num>
  <w:num w:numId="6">
    <w:abstractNumId w:val="18"/>
  </w:num>
  <w:num w:numId="7">
    <w:abstractNumId w:val="17"/>
  </w:num>
  <w:num w:numId="8">
    <w:abstractNumId w:val="1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2"/>
  </w:num>
  <w:num w:numId="13">
    <w:abstractNumId w:val="12"/>
  </w:num>
  <w:num w:numId="14">
    <w:abstractNumId w:val="7"/>
  </w:num>
  <w:num w:numId="15">
    <w:abstractNumId w:val="19"/>
  </w:num>
  <w:num w:numId="16">
    <w:abstractNumId w:val="16"/>
  </w:num>
  <w:num w:numId="17">
    <w:abstractNumId w:val="1"/>
  </w:num>
  <w:num w:numId="18">
    <w:abstractNumId w:val="14"/>
  </w:num>
  <w:num w:numId="19">
    <w:abstractNumId w:val="15"/>
  </w:num>
  <w:num w:numId="20">
    <w:abstractNumId w:val="1"/>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3DF8"/>
    <w:rsid w:val="00006090"/>
    <w:rsid w:val="00026FE2"/>
    <w:rsid w:val="000371CB"/>
    <w:rsid w:val="00077E47"/>
    <w:rsid w:val="000822FE"/>
    <w:rsid w:val="000A2F2E"/>
    <w:rsid w:val="000A797B"/>
    <w:rsid w:val="000B08F6"/>
    <w:rsid w:val="000C0D5D"/>
    <w:rsid w:val="000E019D"/>
    <w:rsid w:val="000F2C05"/>
    <w:rsid w:val="00111E78"/>
    <w:rsid w:val="001131A5"/>
    <w:rsid w:val="00120696"/>
    <w:rsid w:val="00135556"/>
    <w:rsid w:val="001500B8"/>
    <w:rsid w:val="001564E5"/>
    <w:rsid w:val="001848BA"/>
    <w:rsid w:val="00185E64"/>
    <w:rsid w:val="001945F8"/>
    <w:rsid w:val="00195DF6"/>
    <w:rsid w:val="001B12EE"/>
    <w:rsid w:val="001C0692"/>
    <w:rsid w:val="001C36F3"/>
    <w:rsid w:val="001E70C3"/>
    <w:rsid w:val="001F1A8C"/>
    <w:rsid w:val="00204505"/>
    <w:rsid w:val="002053A7"/>
    <w:rsid w:val="00214A5C"/>
    <w:rsid w:val="0024510C"/>
    <w:rsid w:val="002469B2"/>
    <w:rsid w:val="00257A65"/>
    <w:rsid w:val="002671A6"/>
    <w:rsid w:val="002A49A1"/>
    <w:rsid w:val="002B0BD5"/>
    <w:rsid w:val="002C5CF7"/>
    <w:rsid w:val="002E79B1"/>
    <w:rsid w:val="002F5DF6"/>
    <w:rsid w:val="00303BE0"/>
    <w:rsid w:val="003044ED"/>
    <w:rsid w:val="003354D5"/>
    <w:rsid w:val="00347CAC"/>
    <w:rsid w:val="00363788"/>
    <w:rsid w:val="00377A8D"/>
    <w:rsid w:val="00383EDA"/>
    <w:rsid w:val="00386D87"/>
    <w:rsid w:val="003B4A7E"/>
    <w:rsid w:val="003E6CEC"/>
    <w:rsid w:val="003E791E"/>
    <w:rsid w:val="003F5092"/>
    <w:rsid w:val="003F7702"/>
    <w:rsid w:val="0040102E"/>
    <w:rsid w:val="004362FB"/>
    <w:rsid w:val="00447AED"/>
    <w:rsid w:val="00484536"/>
    <w:rsid w:val="00492136"/>
    <w:rsid w:val="004A0CC1"/>
    <w:rsid w:val="004B2408"/>
    <w:rsid w:val="004F2150"/>
    <w:rsid w:val="00503E9E"/>
    <w:rsid w:val="00520B19"/>
    <w:rsid w:val="005328A7"/>
    <w:rsid w:val="005361CD"/>
    <w:rsid w:val="00540E1E"/>
    <w:rsid w:val="00543C57"/>
    <w:rsid w:val="00585878"/>
    <w:rsid w:val="005A7A55"/>
    <w:rsid w:val="005B2A05"/>
    <w:rsid w:val="005D3E4C"/>
    <w:rsid w:val="005D66C4"/>
    <w:rsid w:val="005F71BA"/>
    <w:rsid w:val="006060EB"/>
    <w:rsid w:val="006115F9"/>
    <w:rsid w:val="006438FE"/>
    <w:rsid w:val="00654B65"/>
    <w:rsid w:val="006876CF"/>
    <w:rsid w:val="006A179C"/>
    <w:rsid w:val="006A2D97"/>
    <w:rsid w:val="006A67BD"/>
    <w:rsid w:val="006D0A68"/>
    <w:rsid w:val="007226FE"/>
    <w:rsid w:val="00734AD3"/>
    <w:rsid w:val="0074172C"/>
    <w:rsid w:val="00743A3D"/>
    <w:rsid w:val="007A04BF"/>
    <w:rsid w:val="007A0B1C"/>
    <w:rsid w:val="007C1B5D"/>
    <w:rsid w:val="007E608A"/>
    <w:rsid w:val="007F3209"/>
    <w:rsid w:val="008019DA"/>
    <w:rsid w:val="00815FC1"/>
    <w:rsid w:val="00823F6F"/>
    <w:rsid w:val="00866CE1"/>
    <w:rsid w:val="00874977"/>
    <w:rsid w:val="00882C15"/>
    <w:rsid w:val="008868D2"/>
    <w:rsid w:val="00895221"/>
    <w:rsid w:val="008A5098"/>
    <w:rsid w:val="008B120A"/>
    <w:rsid w:val="008B6F37"/>
    <w:rsid w:val="008C53D4"/>
    <w:rsid w:val="008E4C87"/>
    <w:rsid w:val="008F5B27"/>
    <w:rsid w:val="0090040D"/>
    <w:rsid w:val="0091589B"/>
    <w:rsid w:val="0091602C"/>
    <w:rsid w:val="00916C2D"/>
    <w:rsid w:val="009229BA"/>
    <w:rsid w:val="00947399"/>
    <w:rsid w:val="00963F07"/>
    <w:rsid w:val="00981BDC"/>
    <w:rsid w:val="009857FF"/>
    <w:rsid w:val="00997747"/>
    <w:rsid w:val="009A09BC"/>
    <w:rsid w:val="009A3108"/>
    <w:rsid w:val="009B08D5"/>
    <w:rsid w:val="009B2149"/>
    <w:rsid w:val="009B27F2"/>
    <w:rsid w:val="009B6524"/>
    <w:rsid w:val="009C473B"/>
    <w:rsid w:val="009D5FBE"/>
    <w:rsid w:val="009F7D99"/>
    <w:rsid w:val="00A42573"/>
    <w:rsid w:val="00A43187"/>
    <w:rsid w:val="00A54FAD"/>
    <w:rsid w:val="00A85384"/>
    <w:rsid w:val="00AB0DBF"/>
    <w:rsid w:val="00AB30C4"/>
    <w:rsid w:val="00AC5FF9"/>
    <w:rsid w:val="00AE35CD"/>
    <w:rsid w:val="00AF4A80"/>
    <w:rsid w:val="00B22BB5"/>
    <w:rsid w:val="00B520EE"/>
    <w:rsid w:val="00B613AC"/>
    <w:rsid w:val="00B84D4D"/>
    <w:rsid w:val="00B91239"/>
    <w:rsid w:val="00BA764C"/>
    <w:rsid w:val="00BB730C"/>
    <w:rsid w:val="00BC2171"/>
    <w:rsid w:val="00BD1C41"/>
    <w:rsid w:val="00BF5843"/>
    <w:rsid w:val="00C21521"/>
    <w:rsid w:val="00C31B4A"/>
    <w:rsid w:val="00C31CC3"/>
    <w:rsid w:val="00C93A38"/>
    <w:rsid w:val="00CB4DFA"/>
    <w:rsid w:val="00CF356E"/>
    <w:rsid w:val="00D06476"/>
    <w:rsid w:val="00D21B03"/>
    <w:rsid w:val="00D21F61"/>
    <w:rsid w:val="00D3117C"/>
    <w:rsid w:val="00D3125B"/>
    <w:rsid w:val="00D4095F"/>
    <w:rsid w:val="00D479EA"/>
    <w:rsid w:val="00D640BC"/>
    <w:rsid w:val="00D82C00"/>
    <w:rsid w:val="00D84DA0"/>
    <w:rsid w:val="00D90C5A"/>
    <w:rsid w:val="00DA08E8"/>
    <w:rsid w:val="00DA5BFB"/>
    <w:rsid w:val="00DC5FF2"/>
    <w:rsid w:val="00DD17F2"/>
    <w:rsid w:val="00DE59B2"/>
    <w:rsid w:val="00DF6DE2"/>
    <w:rsid w:val="00E03A36"/>
    <w:rsid w:val="00E07164"/>
    <w:rsid w:val="00E25AF8"/>
    <w:rsid w:val="00E2649E"/>
    <w:rsid w:val="00E46499"/>
    <w:rsid w:val="00E70268"/>
    <w:rsid w:val="00E86618"/>
    <w:rsid w:val="00E90E22"/>
    <w:rsid w:val="00E93DC9"/>
    <w:rsid w:val="00E94EA0"/>
    <w:rsid w:val="00EB4F59"/>
    <w:rsid w:val="00EC22AC"/>
    <w:rsid w:val="00EF3E2D"/>
    <w:rsid w:val="00EF3FB1"/>
    <w:rsid w:val="00F034D9"/>
    <w:rsid w:val="00F26BB7"/>
    <w:rsid w:val="00F311C7"/>
    <w:rsid w:val="00F40738"/>
    <w:rsid w:val="00F4390F"/>
    <w:rsid w:val="00F51901"/>
    <w:rsid w:val="00F6419A"/>
    <w:rsid w:val="00F70CED"/>
    <w:rsid w:val="00F729CE"/>
    <w:rsid w:val="00FA2827"/>
    <w:rsid w:val="00FA5C27"/>
    <w:rsid w:val="00FB21E3"/>
    <w:rsid w:val="00FC3B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3B8F9505.dotm</Template>
  <TotalTime>211</TotalTime>
  <Pages>4</Pages>
  <Words>1278</Words>
  <Characters>7030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74</cp:revision>
  <dcterms:created xsi:type="dcterms:W3CDTF">2017-04-20T07:12:00Z</dcterms:created>
  <dcterms:modified xsi:type="dcterms:W3CDTF">2017-12-05T15:45:00Z</dcterms:modified>
</cp:coreProperties>
</file>