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5E7CAB"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A655BD" w:rsidRDefault="00A655BD" w:rsidP="007911E4">
                  <w:pPr>
                    <w:spacing w:line="360" w:lineRule="auto"/>
                    <w:ind w:left="14" w:hanging="14"/>
                    <w:rPr>
                      <w:sz w:val="28"/>
                      <w:szCs w:val="28"/>
                    </w:rPr>
                  </w:pPr>
                  <w:r>
                    <w:rPr>
                      <w:sz w:val="28"/>
                      <w:szCs w:val="28"/>
                    </w:rPr>
                    <w:t>Rapport</w:t>
                  </w:r>
                </w:p>
                <w:p w:rsidR="00A655BD" w:rsidRDefault="00A655BD" w:rsidP="00BB3722">
                  <w:pPr>
                    <w:spacing w:line="360" w:lineRule="auto"/>
                    <w:ind w:left="14" w:hanging="14"/>
                    <w:rPr>
                      <w:sz w:val="28"/>
                      <w:szCs w:val="28"/>
                    </w:rPr>
                  </w:pPr>
                  <w:r>
                    <w:rPr>
                      <w:sz w:val="28"/>
                      <w:szCs w:val="28"/>
                    </w:rPr>
                    <w:t>IMKL2015 - Objectcatalogus</w:t>
                  </w:r>
                </w:p>
                <w:p w:rsidR="00A655BD" w:rsidRPr="00050D03" w:rsidRDefault="00A655BD"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304800"/>
                    </a:xfrm>
                    <a:prstGeom prst="rect">
                      <a:avLst/>
                    </a:prstGeom>
                    <a:noFill/>
                    <a:ln>
                      <a:noFill/>
                    </a:ln>
                  </pic:spPr>
                </pic:pic>
              </a:graphicData>
            </a:graphic>
          </wp:anchor>
        </w:drawing>
      </w:r>
      <w:r w:rsidR="005E7CAB">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A655BD" w:rsidRPr="00672722" w:rsidRDefault="00A655BD" w:rsidP="00813CE2">
                  <w:pPr>
                    <w:rPr>
                      <w:b/>
                    </w:rPr>
                  </w:pPr>
                  <w:r>
                    <w:rPr>
                      <w:b/>
                    </w:rPr>
                    <w:t>rechtenbeleid</w:t>
                  </w:r>
                </w:p>
                <w:p w:rsidR="00A655BD" w:rsidRDefault="00A655BD" w:rsidP="00813CE2">
                  <w:pPr>
                    <w:ind w:left="709" w:firstLine="709"/>
                  </w:pPr>
                  <w:r w:rsidRPr="00D774FF">
                    <w:t>Naamsvermelding-GeenAfgeleideWerken 3.0 Nederland</w:t>
                  </w:r>
                </w:p>
                <w:p w:rsidR="00A655BD" w:rsidRDefault="00A655BD" w:rsidP="00813CE2">
                  <w:pPr>
                    <w:ind w:left="709" w:firstLine="709"/>
                  </w:pPr>
                  <w:r w:rsidRPr="00D774FF">
                    <w:t>(CC BY-ND 3.0)</w:t>
                  </w:r>
                  <w:r>
                    <w:t xml:space="preserve"> </w:t>
                  </w:r>
                  <w:r>
                    <w:tab/>
                  </w:r>
                </w:p>
                <w:p w:rsidR="00A655BD" w:rsidRDefault="00A655BD" w:rsidP="00813CE2">
                  <w:pPr>
                    <w:ind w:left="709" w:firstLine="709"/>
                  </w:pPr>
                </w:p>
                <w:p w:rsidR="00A655BD" w:rsidRPr="002564CF" w:rsidRDefault="00A655BD" w:rsidP="00813CE2">
                  <w:r w:rsidRPr="00D774FF" w:rsidDel="000A350C">
                    <w:t xml:space="preserve"> </w:t>
                  </w:r>
                </w:p>
              </w:txbxContent>
            </v:textbox>
            <w10:wrap type="square"/>
          </v:shape>
        </w:pict>
      </w:r>
      <w:r w:rsidR="005E7CAB">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A655BD" w:rsidRPr="00672722" w:rsidRDefault="00A655BD" w:rsidP="00796267">
                  <w:pPr>
                    <w:rPr>
                      <w:b/>
                    </w:rPr>
                  </w:pPr>
                  <w:r w:rsidRPr="00672722">
                    <w:rPr>
                      <w:b/>
                    </w:rPr>
                    <w:t>versie</w:t>
                  </w:r>
                </w:p>
                <w:p w:rsidR="00A655BD" w:rsidRPr="00870DA6" w:rsidRDefault="00447D73" w:rsidP="00796267">
                  <w:r>
                    <w:t>1.0RC1</w:t>
                  </w:r>
                </w:p>
              </w:txbxContent>
            </v:textbox>
            <w10:wrap type="square"/>
          </v:shape>
        </w:pict>
      </w:r>
      <w:r w:rsidR="005E7CAB">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A655BD" w:rsidRDefault="00A655BD" w:rsidP="00672722">
                  <w:pPr>
                    <w:jc w:val="left"/>
                    <w:rPr>
                      <w:b/>
                    </w:rPr>
                  </w:pPr>
                  <w:r w:rsidRPr="00672722">
                    <w:rPr>
                      <w:b/>
                    </w:rPr>
                    <w:t>datum</w:t>
                  </w:r>
                </w:p>
                <w:p w:rsidR="00A655BD" w:rsidRPr="004419AB" w:rsidRDefault="00447D73" w:rsidP="00672722">
                  <w:pPr>
                    <w:jc w:val="left"/>
                  </w:pPr>
                  <w:r>
                    <w:t>20</w:t>
                  </w:r>
                  <w:r w:rsidR="00A655BD">
                    <w:t xml:space="preserve"> november 2015</w:t>
                  </w:r>
                </w:p>
              </w:txbxContent>
            </v:textbox>
            <w10:wrap type="square"/>
          </v:shape>
        </w:pict>
      </w:r>
      <w:r w:rsidR="005E7CAB">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A655BD" w:rsidRPr="00D761FB" w:rsidRDefault="00A655BD"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D15212" w:rsidRDefault="005E7CAB" w:rsidP="00D15212">
      <w:pPr>
        <w:pStyle w:val="Inhopg3"/>
        <w:ind w:left="0"/>
        <w:rPr>
          <w:rFonts w:asciiTheme="minorHAnsi" w:eastAsiaTheme="minorEastAsia" w:hAnsiTheme="minorHAnsi" w:cstheme="minorBidi"/>
          <w:noProof/>
          <w:sz w:val="22"/>
          <w:szCs w:val="22"/>
        </w:rPr>
      </w:pPr>
      <w:r w:rsidRPr="005E7CAB">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5E7CAB">
        <w:rPr>
          <w:b/>
          <w:sz w:val="20"/>
          <w:szCs w:val="20"/>
        </w:rPr>
        <w:fldChar w:fldCharType="separate"/>
      </w:r>
      <w:hyperlink w:anchor="_Toc435786006" w:history="1">
        <w:r w:rsidR="00D15212" w:rsidRPr="00AE1431">
          <w:rPr>
            <w:rStyle w:val="Hyperlink"/>
            <w:noProof/>
            <w:lang w:val="fr-FR"/>
          </w:rPr>
          <w:t>Objectcatalogus metadata</w:t>
        </w:r>
        <w:r w:rsidR="00D15212">
          <w:rPr>
            <w:noProof/>
            <w:webHidden/>
          </w:rPr>
          <w:tab/>
        </w:r>
        <w:r w:rsidR="00D15212">
          <w:rPr>
            <w:noProof/>
            <w:webHidden/>
          </w:rPr>
          <w:fldChar w:fldCharType="begin"/>
        </w:r>
        <w:r w:rsidR="00D15212">
          <w:rPr>
            <w:noProof/>
            <w:webHidden/>
          </w:rPr>
          <w:instrText xml:space="preserve"> PAGEREF _Toc435786006 \h </w:instrText>
        </w:r>
        <w:r w:rsidR="00D15212">
          <w:rPr>
            <w:noProof/>
            <w:webHidden/>
          </w:rPr>
        </w:r>
        <w:r w:rsidR="00D15212">
          <w:rPr>
            <w:noProof/>
            <w:webHidden/>
          </w:rPr>
          <w:fldChar w:fldCharType="separate"/>
        </w:r>
        <w:r w:rsidR="00D15212">
          <w:rPr>
            <w:noProof/>
            <w:webHidden/>
          </w:rPr>
          <w:t>4</w:t>
        </w:r>
        <w:r w:rsidR="00D15212">
          <w:rPr>
            <w:noProof/>
            <w:webHidden/>
          </w:rPr>
          <w:fldChar w:fldCharType="end"/>
        </w:r>
      </w:hyperlink>
    </w:p>
    <w:p w:rsidR="00D15212" w:rsidRDefault="00D15212">
      <w:pPr>
        <w:pStyle w:val="Inhopg4"/>
        <w:rPr>
          <w:rFonts w:asciiTheme="minorHAnsi" w:eastAsiaTheme="minorEastAsia" w:hAnsiTheme="minorHAnsi" w:cstheme="minorBidi"/>
          <w:sz w:val="22"/>
          <w:szCs w:val="22"/>
        </w:rPr>
      </w:pPr>
      <w:hyperlink w:anchor="_Toc435786007" w:history="1">
        <w:r w:rsidRPr="00AE1431">
          <w:rPr>
            <w:rStyle w:val="Hyperlink"/>
          </w:rPr>
          <w:t>Geo objecttypen</w:t>
        </w:r>
        <w:r>
          <w:rPr>
            <w:webHidden/>
          </w:rPr>
          <w:tab/>
        </w:r>
        <w:r>
          <w:rPr>
            <w:webHidden/>
          </w:rPr>
          <w:fldChar w:fldCharType="begin"/>
        </w:r>
        <w:r>
          <w:rPr>
            <w:webHidden/>
          </w:rPr>
          <w:instrText xml:space="preserve"> PAGEREF _Toc435786007 \h </w:instrText>
        </w:r>
        <w:r>
          <w:rPr>
            <w:webHidden/>
          </w:rPr>
        </w:r>
        <w:r>
          <w:rPr>
            <w:webHidden/>
          </w:rPr>
          <w:fldChar w:fldCharType="separate"/>
        </w:r>
        <w:r>
          <w:rPr>
            <w:webHidden/>
          </w:rPr>
          <w:t>8</w:t>
        </w:r>
        <w:r>
          <w:rPr>
            <w:webHidden/>
          </w:rPr>
          <w:fldChar w:fldCharType="end"/>
        </w:r>
      </w:hyperlink>
    </w:p>
    <w:p w:rsidR="00D15212" w:rsidRDefault="00D15212">
      <w:pPr>
        <w:pStyle w:val="Inhopg4"/>
        <w:rPr>
          <w:rFonts w:asciiTheme="minorHAnsi" w:eastAsiaTheme="minorEastAsia" w:hAnsiTheme="minorHAnsi" w:cstheme="minorBidi"/>
          <w:sz w:val="22"/>
          <w:szCs w:val="22"/>
        </w:rPr>
      </w:pPr>
      <w:hyperlink w:anchor="_Toc435786008" w:history="1">
        <w:r w:rsidRPr="00AE1431">
          <w:rPr>
            <w:rStyle w:val="Hyperlink"/>
          </w:rPr>
          <w:t>Datatypen</w:t>
        </w:r>
        <w:r>
          <w:rPr>
            <w:webHidden/>
          </w:rPr>
          <w:tab/>
        </w:r>
        <w:r>
          <w:rPr>
            <w:webHidden/>
          </w:rPr>
          <w:fldChar w:fldCharType="begin"/>
        </w:r>
        <w:r>
          <w:rPr>
            <w:webHidden/>
          </w:rPr>
          <w:instrText xml:space="preserve"> PAGEREF _Toc435786008 \h </w:instrText>
        </w:r>
        <w:r>
          <w:rPr>
            <w:webHidden/>
          </w:rPr>
        </w:r>
        <w:r>
          <w:rPr>
            <w:webHidden/>
          </w:rPr>
          <w:fldChar w:fldCharType="separate"/>
        </w:r>
        <w:r>
          <w:rPr>
            <w:webHidden/>
          </w:rPr>
          <w:t>32</w:t>
        </w:r>
        <w:r>
          <w:rPr>
            <w:webHidden/>
          </w:rPr>
          <w:fldChar w:fldCharType="end"/>
        </w:r>
      </w:hyperlink>
    </w:p>
    <w:p w:rsidR="00D15212" w:rsidRDefault="00D15212">
      <w:pPr>
        <w:pStyle w:val="Inhopg4"/>
        <w:rPr>
          <w:rFonts w:asciiTheme="minorHAnsi" w:eastAsiaTheme="minorEastAsia" w:hAnsiTheme="minorHAnsi" w:cstheme="minorBidi"/>
          <w:sz w:val="22"/>
          <w:szCs w:val="22"/>
        </w:rPr>
      </w:pPr>
      <w:hyperlink w:anchor="_Toc435786009" w:history="1">
        <w:r w:rsidRPr="00AE1431">
          <w:rPr>
            <w:rStyle w:val="Hyperlink"/>
          </w:rPr>
          <w:t>Enumeraties en codelijsten</w:t>
        </w:r>
        <w:r>
          <w:rPr>
            <w:webHidden/>
          </w:rPr>
          <w:tab/>
        </w:r>
        <w:r>
          <w:rPr>
            <w:webHidden/>
          </w:rPr>
          <w:fldChar w:fldCharType="begin"/>
        </w:r>
        <w:r>
          <w:rPr>
            <w:webHidden/>
          </w:rPr>
          <w:instrText xml:space="preserve"> PAGEREF _Toc435786009 \h </w:instrText>
        </w:r>
        <w:r>
          <w:rPr>
            <w:webHidden/>
          </w:rPr>
        </w:r>
        <w:r>
          <w:rPr>
            <w:webHidden/>
          </w:rPr>
          <w:fldChar w:fldCharType="separate"/>
        </w:r>
        <w:r>
          <w:rPr>
            <w:webHidden/>
          </w:rPr>
          <w:t>35</w:t>
        </w:r>
        <w:r>
          <w:rPr>
            <w:webHidden/>
          </w:rPr>
          <w:fldChar w:fldCharType="end"/>
        </w:r>
      </w:hyperlink>
    </w:p>
    <w:p w:rsidR="00D15212" w:rsidRDefault="00D15212">
      <w:pPr>
        <w:pStyle w:val="Inhopg4"/>
        <w:rPr>
          <w:rFonts w:asciiTheme="minorHAnsi" w:eastAsiaTheme="minorEastAsia" w:hAnsiTheme="minorHAnsi" w:cstheme="minorBidi"/>
          <w:sz w:val="22"/>
          <w:szCs w:val="22"/>
        </w:rPr>
      </w:pPr>
      <w:hyperlink w:anchor="_Toc435786010" w:history="1">
        <w:r w:rsidRPr="00AE1431">
          <w:rPr>
            <w:rStyle w:val="Hyperlink"/>
          </w:rPr>
          <w:t>Kandidaat types en placeholders</w:t>
        </w:r>
        <w:r>
          <w:rPr>
            <w:webHidden/>
          </w:rPr>
          <w:tab/>
        </w:r>
        <w:r>
          <w:rPr>
            <w:webHidden/>
          </w:rPr>
          <w:fldChar w:fldCharType="begin"/>
        </w:r>
        <w:r>
          <w:rPr>
            <w:webHidden/>
          </w:rPr>
          <w:instrText xml:space="preserve"> PAGEREF _Toc435786010 \h </w:instrText>
        </w:r>
        <w:r>
          <w:rPr>
            <w:webHidden/>
          </w:rPr>
        </w:r>
        <w:r>
          <w:rPr>
            <w:webHidden/>
          </w:rPr>
          <w:fldChar w:fldCharType="separate"/>
        </w:r>
        <w:r>
          <w:rPr>
            <w:webHidden/>
          </w:rPr>
          <w:t>48</w:t>
        </w:r>
        <w:r>
          <w:rPr>
            <w:webHidden/>
          </w:rPr>
          <w:fldChar w:fldCharType="end"/>
        </w:r>
      </w:hyperlink>
    </w:p>
    <w:p w:rsidR="00D15212" w:rsidRDefault="00D15212">
      <w:pPr>
        <w:pStyle w:val="Inhopg4"/>
        <w:rPr>
          <w:rFonts w:asciiTheme="minorHAnsi" w:eastAsiaTheme="minorEastAsia" w:hAnsiTheme="minorHAnsi" w:cstheme="minorBidi"/>
          <w:sz w:val="22"/>
          <w:szCs w:val="22"/>
        </w:rPr>
      </w:pPr>
      <w:hyperlink w:anchor="_Toc435786011" w:history="1">
        <w:r w:rsidRPr="00AE1431">
          <w:rPr>
            <w:rStyle w:val="Hyperlink"/>
          </w:rPr>
          <w:t>Geïmporteerde types (informatief)</w:t>
        </w:r>
        <w:r>
          <w:rPr>
            <w:webHidden/>
          </w:rPr>
          <w:tab/>
        </w:r>
        <w:r>
          <w:rPr>
            <w:webHidden/>
          </w:rPr>
          <w:fldChar w:fldCharType="begin"/>
        </w:r>
        <w:r>
          <w:rPr>
            <w:webHidden/>
          </w:rPr>
          <w:instrText xml:space="preserve"> PAGEREF _Toc435786011 \h </w:instrText>
        </w:r>
        <w:r>
          <w:rPr>
            <w:webHidden/>
          </w:rPr>
        </w:r>
        <w:r>
          <w:rPr>
            <w:webHidden/>
          </w:rPr>
          <w:fldChar w:fldCharType="separate"/>
        </w:r>
        <w:r>
          <w:rPr>
            <w:webHidden/>
          </w:rPr>
          <w:t>114</w:t>
        </w:r>
        <w:r>
          <w:rPr>
            <w:webHidden/>
          </w:rPr>
          <w:fldChar w:fldCharType="end"/>
        </w:r>
      </w:hyperlink>
    </w:p>
    <w:p w:rsidR="00D15212" w:rsidRDefault="00D15212" w:rsidP="00D15212">
      <w:pPr>
        <w:pStyle w:val="Inhopg1"/>
        <w:numPr>
          <w:ilvl w:val="0"/>
          <w:numId w:val="0"/>
        </w:numPr>
        <w:ind w:left="360" w:hanging="360"/>
        <w:rPr>
          <w:rFonts w:asciiTheme="minorHAnsi" w:eastAsiaTheme="minorEastAsia" w:hAnsiTheme="minorHAnsi" w:cstheme="minorBidi"/>
          <w:sz w:val="22"/>
          <w:szCs w:val="22"/>
        </w:rPr>
      </w:pPr>
      <w:hyperlink w:anchor="_Toc435786012" w:history="1">
        <w:r w:rsidRPr="00AE1431">
          <w:rPr>
            <w:rStyle w:val="Hyperlink"/>
          </w:rPr>
          <w:t>Bijlage 4: Alle waardelijsten samen</w:t>
        </w:r>
        <w:r>
          <w:rPr>
            <w:webHidden/>
          </w:rPr>
          <w:tab/>
        </w:r>
        <w:r>
          <w:rPr>
            <w:webHidden/>
          </w:rPr>
          <w:fldChar w:fldCharType="begin"/>
        </w:r>
        <w:r>
          <w:rPr>
            <w:webHidden/>
          </w:rPr>
          <w:instrText xml:space="preserve"> PAGEREF _Toc435786012 \h </w:instrText>
        </w:r>
        <w:r>
          <w:rPr>
            <w:webHidden/>
          </w:rPr>
        </w:r>
        <w:r>
          <w:rPr>
            <w:webHidden/>
          </w:rPr>
          <w:fldChar w:fldCharType="separate"/>
        </w:r>
        <w:r>
          <w:rPr>
            <w:webHidden/>
          </w:rPr>
          <w:t>118</w:t>
        </w:r>
        <w:r>
          <w:rPr>
            <w:webHidden/>
          </w:rPr>
          <w:fldChar w:fldCharType="end"/>
        </w:r>
      </w:hyperlink>
    </w:p>
    <w:p w:rsidR="00085436" w:rsidRPr="00BB3722" w:rsidRDefault="005E7CAB"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447D73" w:rsidRPr="00BB3722" w:rsidTr="00CC1783">
        <w:tc>
          <w:tcPr>
            <w:tcW w:w="817" w:type="dxa"/>
          </w:tcPr>
          <w:p w:rsidR="00447D73" w:rsidRDefault="00447D73" w:rsidP="00992EE1">
            <w:pPr>
              <w:jc w:val="left"/>
            </w:pPr>
            <w:r>
              <w:t>1.0RC1</w:t>
            </w:r>
          </w:p>
        </w:tc>
        <w:tc>
          <w:tcPr>
            <w:tcW w:w="1843" w:type="dxa"/>
          </w:tcPr>
          <w:p w:rsidR="00447D73" w:rsidRDefault="00447D73" w:rsidP="00CC1783">
            <w:pPr>
              <w:jc w:val="left"/>
            </w:pPr>
            <w:r>
              <w:t>20151120</w:t>
            </w:r>
          </w:p>
        </w:tc>
        <w:tc>
          <w:tcPr>
            <w:tcW w:w="992" w:type="dxa"/>
          </w:tcPr>
          <w:p w:rsidR="00447D73" w:rsidRDefault="00447D73" w:rsidP="00CC1783">
            <w:pPr>
              <w:jc w:val="left"/>
            </w:pPr>
            <w:r>
              <w:t>publicatie</w:t>
            </w:r>
          </w:p>
        </w:tc>
        <w:tc>
          <w:tcPr>
            <w:tcW w:w="5226" w:type="dxa"/>
          </w:tcPr>
          <w:p w:rsidR="00447D73" w:rsidRPr="006D2B7D" w:rsidRDefault="00447D73" w:rsidP="00CC1783">
            <w:pPr>
              <w:jc w:val="left"/>
            </w:pP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en waarden die in IMKL2015 voorkomen.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22612C" w:rsidRPr="00835884" w:rsidRDefault="0022612C" w:rsidP="0022612C">
      <w:pPr>
        <w:pStyle w:val="Kop3"/>
        <w:rPr>
          <w:rFonts w:ascii="Verdana" w:hAnsi="Verdana"/>
          <w:lang w:val="fr-FR"/>
        </w:rPr>
      </w:pPr>
      <w:bookmarkStart w:id="4" w:name="_Toc435786006"/>
      <w:r w:rsidRPr="00835884">
        <w:rPr>
          <w:rFonts w:ascii="Verdana" w:hAnsi="Verdana"/>
          <w:lang w:val="fr-FR"/>
        </w:rPr>
        <w:t>Objectcatalogus metadata</w:t>
      </w:r>
      <w:bookmarkEnd w:id="4"/>
    </w:p>
    <w:p w:rsidR="0022612C" w:rsidRPr="00835884" w:rsidRDefault="0022612C" w:rsidP="0022612C">
      <w:pPr>
        <w:rPr>
          <w:lang w:val="fr-FR"/>
        </w:rPr>
      </w:pPr>
    </w:p>
    <w:p w:rsidR="0022612C" w:rsidRPr="00835884" w:rsidRDefault="0022612C" w:rsidP="0022612C">
      <w:pPr>
        <w:rPr>
          <w:lang w:val="fr-FR"/>
        </w:rPr>
      </w:pPr>
    </w:p>
    <w:p w:rsidR="00164A64" w:rsidRDefault="0022612C" w:rsidP="00835884">
      <w:pPr>
        <w:pStyle w:val="Normaalweb"/>
        <w:rPr>
          <w:rFonts w:ascii="Verdana" w:hAnsi="Verdana"/>
          <w:b/>
          <w:bCs/>
          <w:sz w:val="16"/>
          <w:szCs w:val="16"/>
          <w:lang w:val="fr-FR"/>
        </w:rPr>
      </w:pPr>
      <w:r w:rsidRPr="00835884">
        <w:rPr>
          <w:rFonts w:ascii="Verdana" w:hAnsi="Verdana"/>
          <w:b/>
          <w:bCs/>
          <w:sz w:val="16"/>
          <w:szCs w:val="16"/>
          <w:lang w:val="fr-FR"/>
        </w:rPr>
        <w:t>Table 3 - Objectcatalogus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5722"/>
      </w:tblGrid>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Scope</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Versienummer</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447D73">
            <w:r w:rsidRPr="007175B7">
              <w:t xml:space="preserve">IMKL2015 (UML versie </w:t>
            </w:r>
            <w:r w:rsidR="00447D73">
              <w:t>1.0RC</w:t>
            </w:r>
            <w:r w:rsidRPr="007175B7">
              <w:t>)</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Versiedatum</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447D73">
            <w:r w:rsidRPr="007175B7">
              <w:t>2015-11-</w:t>
            </w:r>
            <w:r w:rsidR="00447D73">
              <w:t>20</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Dataspecificatie IMKL2015</w:t>
            </w:r>
          </w:p>
        </w:tc>
      </w:tr>
    </w:tbl>
    <w:p w:rsidR="00835884" w:rsidRPr="00835884" w:rsidRDefault="00835884" w:rsidP="00835884">
      <w:pPr>
        <w:pStyle w:val="Normaalweb"/>
        <w:rPr>
          <w:rFonts w:ascii="Verdana" w:hAnsi="Verdana"/>
          <w:b/>
          <w:bCs/>
          <w:sz w:val="16"/>
          <w:szCs w:val="16"/>
          <w:lang w:val="fr-FR"/>
        </w:rPr>
      </w:pPr>
    </w:p>
    <w:p w:rsidR="0022612C" w:rsidRPr="00835884" w:rsidRDefault="0022612C" w:rsidP="0022612C">
      <w:pPr>
        <w:pStyle w:val="Normaalweb"/>
        <w:rPr>
          <w:rFonts w:ascii="Verdana" w:hAnsi="Verdana"/>
          <w:b/>
          <w:bCs/>
          <w:sz w:val="16"/>
          <w:szCs w:val="16"/>
          <w:lang w:val="fr-FR"/>
        </w:rPr>
      </w:pPr>
    </w:p>
    <w:p w:rsidR="0022612C" w:rsidRPr="00835884" w:rsidRDefault="0022612C" w:rsidP="0022612C">
      <w:pPr>
        <w:pStyle w:val="Normaalweb"/>
        <w:rPr>
          <w:rFonts w:ascii="Verdana" w:hAnsi="Verdana"/>
          <w:b/>
          <w:bCs/>
          <w:sz w:val="16"/>
          <w:szCs w:val="16"/>
          <w:lang w:val="fr-FR"/>
        </w:rPr>
      </w:pPr>
    </w:p>
    <w:p w:rsidR="00164A64" w:rsidRDefault="0022612C" w:rsidP="00835884">
      <w:pPr>
        <w:pStyle w:val="Normaalweb"/>
        <w:rPr>
          <w:rFonts w:ascii="Verdana" w:hAnsi="Verdana"/>
          <w:b/>
          <w:bCs/>
          <w:sz w:val="16"/>
          <w:szCs w:val="16"/>
          <w:lang w:val="fr-FR"/>
        </w:rPr>
      </w:pPr>
      <w:r w:rsidRPr="00835884">
        <w:rPr>
          <w:rFonts w:ascii="Verdana" w:hAnsi="Verdana"/>
          <w:b/>
          <w:bCs/>
          <w:sz w:val="16"/>
          <w:szCs w:val="16"/>
          <w:lang w:val="fr-FR"/>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3432"/>
        <w:gridCol w:w="3969"/>
        <w:gridCol w:w="1321"/>
      </w:tblGrid>
      <w:tr w:rsidR="00835884" w:rsidRPr="007175B7" w:rsidTr="00835884">
        <w:trPr>
          <w:trHeight w:val="225"/>
          <w:tblHeader/>
          <w:tblCellSpacing w:w="0" w:type="dxa"/>
        </w:trPr>
        <w:tc>
          <w:tcPr>
            <w:tcW w:w="34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Type</w:t>
            </w:r>
          </w:p>
        </w:tc>
        <w:tc>
          <w:tcPr>
            <w:tcW w:w="3969"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Package</w:t>
            </w:r>
          </w:p>
        </w:tc>
        <w:tc>
          <w:tcPr>
            <w:tcW w:w="1321"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Stereotypes</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AanduidingEisVoorzorgsmaatregel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447D73">
              <w:t>AanduidingVerzoekContact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Adres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Annotatie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AnnotatieTypeValue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Appurtenance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BestandMediaTypeValue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Bijlage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BijlageTypeValue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BuisleidingTypeValue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447D73">
              <w:t>BuisSpecifiek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ContainerLeidingelement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ContainerLeidingelementTypeValue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Diepte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447D73">
              <w:lastRenderedPageBreak/>
              <w:t>DiepteAangrijpingspuntValue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DiepteNAP</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DiepteTovMaaiveld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Duct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EffectcontourDodelijk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EffectScenarioType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EigenTopografie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EigenTopografieStatusValue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EisVoorzorgsmaatregelBijlage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Elektriciteitskabel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ExtraDetailinfo</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ExtraDetailInfoTypeValue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ExtraGeometrie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ExtraInformatie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GasDistributieAppurtenanceTypeIMKLValue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GasunieAppurtenanceIMKLTypeValue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IMKLBasis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Kabelbed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KabelEnLeidingContainer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KabelOfLeiding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KabelSpecifiek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Kast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26499">
        <w:trPr>
          <w:trHeight w:val="323"/>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Label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26499"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26499" w:rsidRPr="00447D73" w:rsidRDefault="00826499" w:rsidP="00D56F24">
            <w:r w:rsidRPr="00447D73">
              <w:t>Labelpositie</w:t>
            </w:r>
            <w:r w:rsidRPr="00447D73">
              <w:t>Value</w:t>
            </w:r>
          </w:p>
        </w:tc>
        <w:tc>
          <w:tcPr>
            <w:tcW w:w="3969" w:type="dxa"/>
            <w:tcBorders>
              <w:top w:val="outset" w:sz="6" w:space="0" w:color="auto"/>
              <w:left w:val="outset" w:sz="6" w:space="0" w:color="auto"/>
              <w:bottom w:val="outset" w:sz="6" w:space="0" w:color="auto"/>
              <w:right w:val="outset" w:sz="6" w:space="0" w:color="auto"/>
            </w:tcBorders>
            <w:hideMark/>
          </w:tcPr>
          <w:p w:rsidR="00826499" w:rsidRPr="00447D73" w:rsidRDefault="00826499" w:rsidP="00D56F24">
            <w:r w:rsidRPr="00447D73">
              <w:t>IMKL2015</w:t>
            </w:r>
          </w:p>
        </w:tc>
        <w:tc>
          <w:tcPr>
            <w:tcW w:w="1321" w:type="dxa"/>
            <w:tcBorders>
              <w:top w:val="outset" w:sz="6" w:space="0" w:color="auto"/>
              <w:left w:val="outset" w:sz="6" w:space="0" w:color="auto"/>
              <w:bottom w:val="outset" w:sz="6" w:space="0" w:color="auto"/>
              <w:right w:val="outset" w:sz="6" w:space="0" w:color="auto"/>
            </w:tcBorders>
            <w:hideMark/>
          </w:tcPr>
          <w:p w:rsidR="00826499" w:rsidRPr="00447D73" w:rsidRDefault="00826499" w:rsidP="00D56F24">
            <w:r w:rsidRPr="00447D73">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Leidingelement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Maatvoering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MaatvoeringsTypeValue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Mangat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Mantelbuis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Mast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MateriaalTypeValue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NauwkeurigheidDiepteValue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NauwkeurigheidXYvalue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NEN3610ID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OilGasChemicalsAppurtenanceITypeIMKLValue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OlieGasChemicalienPijpleiding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Rioolleiding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RioolleidingTypeValue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lastRenderedPageBreak/>
              <w:t>SewerAppurtenanceTypeIMKLValue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StedelijkWaterSpecifiek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TechnischContactpersoon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Telecommunicatiekabel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Thema</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ThermischePijpleiding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TopografischObjectTypeValue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Toren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Transportroute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Transportroutedeel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TransportrouteRisico</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Utiliteitsnet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LocatorDesignatorTypeValue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LocatorLevelValue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GeometryMethodValue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AddressComponent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Measure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ProductionAndIndustrialFacilitiesExtension</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LegalStatusValue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ResidenceOfAuthority</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TechnicalStatusValue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AdministrativeBoundary</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AdministrativeHierarchyLevel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Condominium</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GeographicPosition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AddressRepresentation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LocatorDesignator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GeometrySpecificationValue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AddressLocator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LocatorNameTypeValue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ConditionOfConstructionValue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ElevationReferenceValue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DateOfEvent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lastRenderedPageBreak/>
              <w:t>ExternalReference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HeightStatusValue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Elevation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HeightAboveGround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AbstractConstruction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PipeMaterialTypeValue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pPr>
              <w:rPr>
                <w:lang w:val="en-GB"/>
              </w:rPr>
            </w:pPr>
            <w:r w:rsidRPr="007175B7">
              <w:rPr>
                <w:lang w:val="en-GB"/>
              </w:rPr>
              <w:t>Common Extended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UtilityNetwork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Cabinet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UtilityNetworkTypeValue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Pole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Duct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Tower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Cable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Manhole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Appurtenance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SpecificAppurtenanceTypeValue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OilGasChemicalsProductTypeValue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ElectricityCable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SewerWaterTypeValue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TelecommunicationsCable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TelecommunicationsCableMaterialTypeValue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CadastralZoningLevelValue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CadastralZoning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NameStatusValue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GrammaticalNumberValue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lastRenderedPageBreak/>
              <w:t>BasicPropertyUnit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GrammaticalGenderValue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SpellingOfName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PronunciationOfName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NativenessValue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bl>
    <w:p w:rsidR="00835884" w:rsidRDefault="00835884" w:rsidP="00835884">
      <w:pPr>
        <w:pStyle w:val="Normaalweb"/>
        <w:rPr>
          <w:rFonts w:ascii="Verdana" w:hAnsi="Verdana"/>
          <w:sz w:val="16"/>
          <w:szCs w:val="16"/>
        </w:rPr>
      </w:pPr>
    </w:p>
    <w:p w:rsidR="0022612C" w:rsidRDefault="0022612C" w:rsidP="0022612C">
      <w:pPr>
        <w:pStyle w:val="Kop4"/>
        <w:rPr>
          <w:rFonts w:ascii="Verdana" w:hAnsi="Verdana"/>
          <w:sz w:val="16"/>
          <w:szCs w:val="16"/>
        </w:rPr>
      </w:pPr>
    </w:p>
    <w:p w:rsidR="0022612C" w:rsidRDefault="0022612C" w:rsidP="0022612C">
      <w:pPr>
        <w:pStyle w:val="Kop4"/>
      </w:pPr>
      <w:bookmarkStart w:id="5" w:name="_Toc435786007"/>
      <w:r w:rsidRPr="0022612C">
        <w:t>Geo object</w:t>
      </w:r>
      <w:r w:rsidR="00164A64">
        <w:t>typen</w:t>
      </w:r>
      <w:bookmarkEnd w:id="5"/>
    </w:p>
    <w:p w:rsidR="00164A64" w:rsidRDefault="00164A64" w:rsidP="00835884">
      <w:pPr>
        <w:pStyle w:val="Kop5"/>
        <w:rPr>
          <w:sz w:val="16"/>
          <w:szCs w:val="16"/>
        </w:rPr>
      </w:pPr>
      <w:r w:rsidRPr="001D7694">
        <w:rPr>
          <w:sz w:val="16"/>
          <w:szCs w:val="16"/>
        </w:rPr>
        <w:t>AanduidingEisVoorzorgsmaatregel</w:t>
      </w:r>
    </w:p>
    <w:p w:rsidR="00835884" w:rsidRPr="007175B7" w:rsidRDefault="00835884" w:rsidP="00835884">
      <w:pPr>
        <w:pStyle w:val="Kop5"/>
        <w:rPr>
          <w:sz w:val="16"/>
          <w:szCs w:val="16"/>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AanduidingEisVoorzorgsmaatregel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Aanduiding van een netelement waarop een eis voorzorgsmaatregel van toepassing is. Dit is een wettelijke eis.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eis voorzorgsmaatregel is altijd gekoppeld aan een net of aan een element daarvan. Omdat de voorzorgsmaatregel van toepassing kan zijn op delen van een element is ze als apart geometrisch vlakobject gedefinieerd.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Vermelding of er voorzorgsmaatregelen getroffen dienen te worden. Aangegeven wordt wat de voorzorgsmaatregel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Omschrijving bij een risico classificering die aan (onderdeel van een) kabel- of leiding netwerk gegeven kan worden. Op basis van dit risico moeten mogelijk voorzorgsmaatregelen getroffen worden bij het uitvoeren van werkzaamheden.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geometriebegrenzingFictief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Bepaling of de geometriebegrenzing als fictief of als werkelijke waarde geinterpreteerd moet worden.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Standaard is de begrenzing van een AanduidingEisVoorzorgsmaatregel fictief en dient om de voorzorgsmaatregel bij een kabel of leiding te visualiseren. In bijzondere gevallen is een eisvoorzorgsmaatregel niet alleen op een kabel of leiding maar op een daadwerkelijke strook om de kabel of leiding van toepassing. In dat geval is de begrenzing niet fictief.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Geometrie die aangeeft op welk element een eis voorzorgsmaatregel van toepassing is en of een strook aangeeft waar de maatregel van toepassing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Indien de geometrie alleen dient om het leidingelement aan te duiden is er een standaard strook van 1 meter aan weerszijden van de kabel of leiding. Indien het een werkelijke strook betreft is de afstand vrij te bepalen. Indien de eis voorzorgsmaatregel voor een utiliteitnet geldt is er geen geometrie aanwezig.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AanduidingVerzoekContact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AanduidingVerzoekContact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Aanduiding van een netelement waarbij een verzoek tot opnemen contact met de beheerder geldt dat buiten de wettelijke eis van een voorzorgsmaatregel valt.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Vermelding van de maatregel.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Omschrijving bij een risico classificering die aan (onderdeel van een) kabel- of leiding netwerk gegeven kan worden.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Geometrie die aangeeft bij welk element of gebied een verzoek tot contact van toepassing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Annotatie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rPr>
                      <w:color w:val="1D1819"/>
                    </w:rPr>
                    <w:t>Teksten en symbolen weergegeven in het kaartbeeld.</w:t>
                  </w:r>
                  <w:r w:rsidRPr="007175B7">
                    <w:t xml:space="preserv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Via het “annotatieType” attribuut kan het soort annotatie of maatvoering object worden bepaald – voor visualisatie - en via het attribuut “label” kan de tekst of numerieke waarde worden doorgegeven.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AnnotatieTypeValue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Aard van de opgenomen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Annotatie kan voor o.a. maatvoering getypeerd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labeltekst of 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Positie of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Afhankelijk van het type annotatie betreft het een plaatsingspunt van het label of de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A064E5" w:rsidP="00835884">
                  <w:r w:rsidRPr="008D2EDC">
                    <w:t>*</w:t>
                  </w:r>
                  <w:r>
                    <w:t>/ GM_Point, GM_Curve</w:t>
                  </w:r>
                  <w:r w:rsidRPr="008D2EDC">
                    <w:t xml:space="preserv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Appurtenance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leidingelement dat door zijn type wordt beschreven (via het attribuut appurtenanceType).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Leidingelement, Appurtenance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objecten zoals een schakelkast, verdeelkast, kranen, afsluiters, versterkers, kabelmof, rioolput, (druk)rioolgemaal, kathodische bescherming, boorput, etc.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Length</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hoogte of lengte van het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Bijlage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Documentbijlage.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BijlageTypeValue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Beschrijft het type bijlage.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Bestandsnaam van het bestand dat meegegeven wordt.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bestandsnaam omvat ook de locatie van het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BestandMediaTypeValue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Media type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identificator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Deze identificator wordt beschreven via een URI.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BuisSpecifiek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buis-specifieke 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PipeMaterialTypeValue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Materiaal waaruit de buis bestaat.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ContainerLeidingelement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gemeenschappelijke attributen en associaties bevat voor alle containerleidingelement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containerLeidingelementType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ContainerLeidingelementTypeValue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Aangegeven wordt of het containerleidingelement bovengronds vanaf het maaiveld zichtbaar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nauwkeurigheid voor WION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NEN3610ID</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ID van het overeenkomstige object uit de Basisregistratie Grootschalige Topografie of pluslaag.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puntsymbool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r w:rsidR="00A064E5">
                    <w:t>..*</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Diepte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gemeenschappelijke attributen en associaties bevat voor de diepte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IMKL-Be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NauwkeurigheidDiepteValue</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nauwkeurigheid van de dekking van een KabelOfLeiding of KabelEnLeidingContainer object of diepte van een Leidingelement of ContainerLeidingelement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attribuut gebruikt een codelijst – zie NauwkeurigheidDiepteValue.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datum waarop het dieptepeil werd opgemeten.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DiepteAangrijpingspuntValue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Benoeming van welk aangrijpingspunt van het object de diepte is bepaald.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bovenkant, onderkant, binnenkant.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GM_Point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Locatie van het dieptegegeven.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Locatie waar de diepte-informatie van toepassing is. Eén leiding kan meerdere dieptegegevens langs het traject van de leiding hebben.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DiepteNAP</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Object dat dient om de afstand weer te geven van het NAP-nulpunt tot de bovenkant van kabel of leiding, leidingcontainer, leidingelement of containerleidingelement.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buis kan additioneel de binnenonderkant buis als meetpunt worden genomen.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Hoogte van het maaiveld t.o.v. NAP.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datum waarop het maaiveldpeil werd opgemeten.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DiepteTovMaaiveld</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Object dat dient om de afstand weer te geven vanaf het maaiveld tot de bovenkant van kabel of leiding, leidingcontainer, leidingelement of containerleidingelement.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Duct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behuizing die ertoe dient om door middel van een omhullende constructie kabels en leidingen te beschermen en geleiden.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Duct, KabelEnLeidingContainer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EffectcontourDodelijk</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Effectafstand dodelijk letsel (1% mortaliteit).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Zijnde de toetsingsafstand voor o.a. de inventarisatie van bebouwing voor de berekening van het groepsrisico alsook het omgaan met het restrisico.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GM_MultiSurface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Effectafstand dodelijk letsel (1% mortaliteit).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Zijnde de toetsingsafstand voor o.a. de inventarisatie van bebouwing voor de berekening van het groepsrisico alsook het omgaan met het restrisico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bij 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Vewijzing naar de bijbehorende 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EigenTopografie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Topografie die extra wordt toegevoegd voor relatieve plaatsbepaling van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EigenTopografieStatusValue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Plan of bestaande topografie.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TopografischObjectTypeValue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Soort topografisch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Aangeven wordt welk type object uit de BGT of BGT plus is opgenomen.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Plaatsaanduiding van de extra topografie.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In geval van een geografisch object worden deze topografieën gesitueerd via het attribuut “ligging” waarbij punt, lijn en polygoon geometrieën gebruikt kunnen worden.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ExtraTopografie kan bij meerdere utliliteitsnetten horen.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D2EDC" w:rsidP="00835884">
                  <w:r w:rsidRPr="008D2EDC">
                    <w:t>*/ GM_Point, GM_Curve, GM_Surface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EisVoorzorgsmaatregelBijlage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Bijlage met de vermelding welke voorzorgsmaatregelen getroffen dienen te worden. Aangegeven wordt wat de voorzorgsmaatregel is met de hoogste prioriteit.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Bijlage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Vermelding of er voorzorgsmaatregelen getroffen dienen te worden. Aangegeven wordt wat de voorzorgsmaatregel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Extra informatie in de vorm van een toelichting.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Elektriciteitskabel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Elektriciteitskabel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aansluiting of reeks aansluitingen van een nutsvoorzieningennet voor het overbrengen van elektriciteit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ElectricityCable, KabelSpecifiek, KabelOfLeiding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ExtraDetailinfo</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Object dat extra informatie over één of meerdere utility network elementen weergeeft via bijkomende bestanden.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bestandstype is altijd pdf.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Adres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Adresaanduiding conform BAG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ExtraDetailInfoTypeValue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Beschrijft het type detailinformatie.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Bestandsnaam van het bestand dat meegegeven wordt.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bestandsnaam omvat ook de locatie van het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BestandMediaTypeValue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Media type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identificator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Deze identificator wordt beschreven via een URI.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Locatie waar de detailinformatie op van toepassing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Kan een punt lijn of vlak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D2EDC" w:rsidP="00835884">
                  <w:r w:rsidRPr="008D2EDC">
                    <w:t>*/ GM_Point, GM_Curve, GM_Surface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Natuurlijke taal:</w:t>
                  </w:r>
                </w:p>
              </w:tc>
              <w:tc>
                <w:tcPr>
                  <w:tcW w:w="0" w:type="auto"/>
                  <w:hideMark/>
                </w:tcPr>
                <w:p w:rsidR="00835884" w:rsidRPr="007175B7" w:rsidRDefault="00835884" w:rsidP="00835884">
                  <w:r w:rsidRPr="007175B7">
                    <w:t>HuisaansluitingVerplichtAdres</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OCL:</w:t>
                  </w:r>
                </w:p>
              </w:tc>
              <w:tc>
                <w:tcPr>
                  <w:tcW w:w="0" w:type="auto"/>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ExtraGeometrie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Verzamelobject voor extra geometrie van netwerkelementen.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Tweedimensionale vlakrepresentatie van het netwerkelement.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gebruikt indien een netwerkelement ook additioneel als gebied wordt gerepresenteerd.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GM_Point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2.5D representatie van een leidingelement, dus inclusief z waarde.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GM_Curve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2.5D representatie van een lijnvormig netwerkelement.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Ten opzichte van de 2D representatie wordt de z coordinaat toegevoegd, maar ook waar nodig extra coordinatenparen om de lijn correct in 3D te representeren.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2.5D vlakrepresentatie van het netwerkelement.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GM_Solid</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Representatie van het netwerkelement als 3D volume.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ExtraInformatie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Informatie toegevoegd aan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objecten kunnen via annotatie en gekoppelde bestanden voorzien worden van extra informatie.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IMKLBasis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basis 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identificatie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NEN3610ID</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identificatie van het object binnen het domein van NEN 3610.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«identificatie»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begindatum waarop een data object in de registratie werd aangemaakt, het begin van de levenscyclus van een data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attribuut is afkomstig van INSPIRE maar wordt ook gebruikt in de IMKL-specieke objecten. Dit attribuut heeft DateTime als data type.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datum die het einde van een levenscyclus van een data object aangeeft.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moment vanaf wanneer het geen onderdeel meer is van de actuele registratie. Dit attribuut is afkomstig van INSPIRE maar wordt ook gebruikt in de IMKL-specieke objecten. Dit attribuut heeft DateTime als data type.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Kabelbed</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Kabelbed of Geul: Ruimtebeslag dat door een gemeenschappelijk tracé van één of meer kabels, buizen, HDPE- en/of mantelbuizen – die toebehoren aan één netbeheerder - wordt gevormd.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Duct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Synoniem voor kabelbed is geul. Losse kabels of buizen die bij elkaar in een kabelbed liggen. Informatie is opgenomen op het niveau van de set van kabels of buizen. Optioneel kan er als extrageometrie een vlak worden toegevoegd maar alleen als er grote breedtes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KabelEnLeidingContainer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gemeenschappelijke attributen en associaties bevat voor alle kabel- en leidingcontainer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Optioneel kan er als extrageometrie een vlak worden toegevoegd maar alleen als er grote diameters of breedtes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Aangegeven wordt of het leidingelement bovengronds vanaf het maaiveld zichtbaar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WION nauwkeurigheid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Extra informatie in de vorm van een toelichting.</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Integer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Aantal kabels leidingen of buizen dat zich in het containerelement bevindt.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Wordt opgenomen indien het aantal meer dan één 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KabelOfLeiding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Leidingen, buizen of kabels bestemd voor voortgeleiding van energie, materie of data.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WION nauwkeurigheid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Extra informatie in de vorm van een toelichting.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KabelSpecifiek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kabel-specifieke 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IMKL-Be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Diameter van een kabel of leiding uitgedrukt in een Unit of Measure (UOM).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attribuut heeft een Measure als data type. De UOM wordt uitgedrukt via één van de volgende OGC URN codes: • urn:ogc:def:uom:OGC::m • urn:ogc:def:uom:OGC::cm • urn:ogc:def:uom:OGC::mm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Kast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Kast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kast-object dat nutsvoorzieningenobjecten kan bevatten die tot een of meer nutsvoorzieningennetwerken behoren.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ContainerLeidingelement, Cabinet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26499" w:rsidRDefault="00835884" w:rsidP="00826499">
      <w:pPr>
        <w:pStyle w:val="Kop5"/>
        <w:rPr>
          <w:sz w:val="16"/>
          <w:szCs w:val="16"/>
        </w:rPr>
      </w:pPr>
      <w:r w:rsidRPr="007175B7">
        <w:rPr>
          <w:sz w:val="16"/>
          <w:szCs w:val="16"/>
        </w:rPr>
        <w:lastRenderedPageBreak/>
        <w:t>Label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26499" w:rsidRPr="004F4D98" w:rsidTr="0082649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26499" w:rsidRPr="004F4D98" w:rsidRDefault="00826499" w:rsidP="00D56F24">
            <w:pPr>
              <w:spacing w:line="225" w:lineRule="atLeast"/>
            </w:pPr>
            <w:r w:rsidRPr="004F4D98">
              <w:rPr>
                <w:b/>
                <w:bCs/>
              </w:rPr>
              <w:t xml:space="preserve">Label (abstract) </w:t>
            </w:r>
          </w:p>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Abstract data object dat de labelattributen bevat van de IMKL extensie.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Omschrijving:</w:t>
                  </w:r>
                </w:p>
              </w:tc>
              <w:tc>
                <w:tcPr>
                  <w:tcW w:w="0" w:type="auto"/>
                  <w:hideMark/>
                </w:tcPr>
                <w:p w:rsidR="00826499" w:rsidRPr="004F4D98" w:rsidRDefault="00826499" w:rsidP="00D56F24">
                  <w:r w:rsidRPr="004F4D98">
                    <w:t xml:space="preserve">Een label kan als attribuut bij netelementen opgenomen zijn. In dat geval hebben ze geen plaastingspunt. Ze kunnen ook bij maatvoering of annotatie opgenomen zijn. Dan hebben ze wel een plaastingspunt middels een attribuut ligging.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Stereotypes:</w:t>
                  </w:r>
                </w:p>
              </w:tc>
              <w:tc>
                <w:tcPr>
                  <w:tcW w:w="0" w:type="auto"/>
                  <w:hideMark/>
                </w:tcPr>
                <w:p w:rsidR="00826499" w:rsidRPr="004F4D98" w:rsidRDefault="00826499" w:rsidP="00D56F24">
                  <w:r w:rsidRPr="004F4D98">
                    <w:t>«featureType»</w:t>
                  </w:r>
                </w:p>
              </w:tc>
            </w:tr>
          </w:tbl>
          <w:p w:rsidR="00826499" w:rsidRPr="004F4D98" w:rsidRDefault="00826499" w:rsidP="00D56F24"/>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Type:</w:t>
                  </w:r>
                </w:p>
              </w:tc>
              <w:tc>
                <w:tcPr>
                  <w:tcW w:w="0" w:type="auto"/>
                  <w:hideMark/>
                </w:tcPr>
                <w:p w:rsidR="00826499" w:rsidRPr="004F4D98" w:rsidRDefault="00826499" w:rsidP="00D56F24">
                  <w:r w:rsidRPr="004F4D98">
                    <w:t>stringOrNilReason</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Tekst of getal dat een eigenschap omschrijft of kwantificeert.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Multipliciteit:</w:t>
                  </w:r>
                </w:p>
              </w:tc>
              <w:tc>
                <w:tcPr>
                  <w:tcW w:w="0" w:type="auto"/>
                  <w:hideMark/>
                </w:tcPr>
                <w:p w:rsidR="00826499" w:rsidRPr="004F4D98" w:rsidRDefault="00826499" w:rsidP="00D56F24">
                  <w:r w:rsidRPr="004F4D98">
                    <w:t>0..1</w:t>
                  </w:r>
                </w:p>
              </w:tc>
            </w:tr>
          </w:tbl>
          <w:p w:rsidR="00826499" w:rsidRPr="004F4D98" w:rsidRDefault="00826499" w:rsidP="00D56F24"/>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Type:</w:t>
                  </w:r>
                </w:p>
              </w:tc>
              <w:tc>
                <w:tcPr>
                  <w:tcW w:w="0" w:type="auto"/>
                  <w:hideMark/>
                </w:tcPr>
                <w:p w:rsidR="00826499" w:rsidRPr="004F4D98" w:rsidRDefault="00826499" w:rsidP="00D56F24">
                  <w:r w:rsidRPr="004F4D98">
                    <w:t>stringOrNilReason</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Gedetailleerde omschrijving van het informatieobject.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Omschrijving:</w:t>
                  </w:r>
                </w:p>
              </w:tc>
              <w:tc>
                <w:tcPr>
                  <w:tcW w:w="0" w:type="auto"/>
                  <w:hideMark/>
                </w:tcPr>
                <w:p w:rsidR="00826499" w:rsidRPr="004F4D98" w:rsidRDefault="00826499" w:rsidP="00D56F24">
                  <w:r w:rsidRPr="004F4D98">
                    <w:t xml:space="preserve">Kan toegevoegd worden als het label meer uitleg behoeft.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Multipliciteit:</w:t>
                  </w:r>
                </w:p>
              </w:tc>
              <w:tc>
                <w:tcPr>
                  <w:tcW w:w="0" w:type="auto"/>
                  <w:hideMark/>
                </w:tcPr>
                <w:p w:rsidR="00826499" w:rsidRPr="004F4D98" w:rsidRDefault="00826499" w:rsidP="00D56F24">
                  <w:r w:rsidRPr="004F4D98">
                    <w:t>0..1</w:t>
                  </w:r>
                </w:p>
              </w:tc>
            </w:tr>
          </w:tbl>
          <w:p w:rsidR="00826499" w:rsidRPr="004F4D98" w:rsidRDefault="00826499" w:rsidP="00D56F24"/>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Type:</w:t>
                  </w:r>
                </w:p>
              </w:tc>
              <w:tc>
                <w:tcPr>
                  <w:tcW w:w="0" w:type="auto"/>
                  <w:hideMark/>
                </w:tcPr>
                <w:p w:rsidR="00826499" w:rsidRPr="004F4D98" w:rsidRDefault="00826499" w:rsidP="00D56F24">
                  <w:r w:rsidRPr="004F4D98">
                    <w:t>Labelpositie</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Punt op de horiziontale as in labeltekst dat geldt als referentie voor plaatsingspunt.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Multipliciteit:</w:t>
                  </w:r>
                </w:p>
              </w:tc>
              <w:tc>
                <w:tcPr>
                  <w:tcW w:w="0" w:type="auto"/>
                  <w:hideMark/>
                </w:tcPr>
                <w:p w:rsidR="00826499" w:rsidRPr="004F4D98" w:rsidRDefault="00826499" w:rsidP="00D56F24">
                  <w:r w:rsidRPr="004F4D98">
                    <w:t>0..1</w:t>
                  </w:r>
                </w:p>
              </w:tc>
            </w:tr>
          </w:tbl>
          <w:p w:rsidR="00826499" w:rsidRPr="004F4D98" w:rsidRDefault="00826499" w:rsidP="00D56F24"/>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Type:</w:t>
                  </w:r>
                </w:p>
              </w:tc>
              <w:tc>
                <w:tcPr>
                  <w:tcW w:w="0" w:type="auto"/>
                  <w:hideMark/>
                </w:tcPr>
                <w:p w:rsidR="00826499" w:rsidRPr="004F4D98" w:rsidRDefault="00826499" w:rsidP="00D56F24">
                  <w:r w:rsidRPr="004F4D98">
                    <w:t>Labelpositie</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Punt op de verticale as in labeltekst dat geldt als referentie voor plaatsingspunt.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Multipliciteit:</w:t>
                  </w:r>
                </w:p>
              </w:tc>
              <w:tc>
                <w:tcPr>
                  <w:tcW w:w="0" w:type="auto"/>
                  <w:hideMark/>
                </w:tcPr>
                <w:p w:rsidR="00826499" w:rsidRPr="004F4D98" w:rsidRDefault="00826499" w:rsidP="00D56F24">
                  <w:r w:rsidRPr="004F4D98">
                    <w:t>0..1</w:t>
                  </w:r>
                </w:p>
              </w:tc>
            </w:tr>
          </w:tbl>
          <w:p w:rsidR="00826499" w:rsidRPr="004F4D98" w:rsidRDefault="00826499" w:rsidP="00D56F24"/>
        </w:tc>
      </w:tr>
    </w:tbl>
    <w:p w:rsidR="00835884" w:rsidRPr="007175B7" w:rsidRDefault="00835884" w:rsidP="00835884">
      <w:pPr>
        <w:pStyle w:val="Kop5"/>
        <w:rPr>
          <w:sz w:val="16"/>
          <w:szCs w:val="16"/>
        </w:rPr>
      </w:pPr>
      <w:r w:rsidRPr="007175B7">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Leidingelement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object dat bij een leiding behoort.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Aangegeven wordt of het leidingelement bovengronds vanaf het maaiveld zichtbaar 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WION nauwkeurigheid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eanCode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Aansluiting identificatie code voor aansluiting op het elektriciteitsnet en gasnet van Nederland.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Aansluiting identificatie code zoals die geregistreerd worden in het EAN codeboek.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puntsymbool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Maatvoering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rPr>
                      <w:color w:val="1D1819"/>
                    </w:rPr>
                    <w:t>Teksten en symbolen weergegeven in het kaartbeeld.</w:t>
                  </w:r>
                  <w:r w:rsidRPr="007175B7">
                    <w:t xml:space="preserv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rPr>
                      <w:color w:val="1D1819"/>
                    </w:rPr>
                    <w:t xml:space="preserve">Voor de </w:t>
                  </w:r>
                  <w:r w:rsidRPr="007175B7">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MaatvoeringsTypeValue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Aard van de opgenomen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Annotatie kan voor o.a. maatvoering getypeerd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labeltekst of 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Positie of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Afhankelijk van het type annotatie betreft het een plaatsingspunt van het label of de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D2EDC" w:rsidP="00835884">
                  <w:r w:rsidRPr="008D2EDC">
                    <w:t>*</w:t>
                  </w:r>
                  <w:r>
                    <w:t>/ GM_Point, GM_Curve</w:t>
                  </w:r>
                  <w:r w:rsidRPr="008D2EDC">
                    <w:t xml:space="preserv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Mangat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Mangat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omhullingsobject dat een of meer nutsvoorzieningennetobjecten kan bevatten.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Manhole, ContainerLeidingelement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Graag voorbeelden......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Mantelbuis</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Beschermingsbuis.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Pipe, BuisSpecifiek, KabelEnLeidingContainer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Mast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Mast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mast-object dat dienst kan doen als drager van nutsvoorzieningenobjecten van een of meer nutsvoorzieningnetten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ContainerLeidingelement, Pole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OlieGasChemicalienPijpleiding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OlieGasChemicalienPijpleiding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pijpleiding voor het overbrengen van olie, gas of chemicaliën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OilGasChemicalsPipe, KabelOfLeiding,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Rioolleiding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Rioolleiding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rioleringsleiding voor het overbrengen van afvalwater (rioolwater en hemelwater)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 (aangepast)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StedelijkWaterSpecifiek, KabelOfLeiding, SewerPipe,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StedelijkWaterSpecifiek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rioolleiding attributen bevat specifiek van de stedelijkwater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RioolleidingTypeValue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Typering van soort rioolleiding.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Telecommunicatiekabel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Telecommunicatiekabel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aansluiting of reeks aansluitingen van een nutsvoorzieningennet voor het overbrengen van signaalinformatie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TelecommunicationsCable, KabelSpecifiek, KabelOfLeiding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Is de definitie ok?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ThermischePijpleiding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ThermischePijpleiding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leiding voor het transporteren van warmte of koelte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ThermalPipe, KabelOfLeiding,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Toren</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Toren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toren-object dat dienst kan doen als drager van nutsvoorzieningenobjecten van een of meer nutsvoorzieningnetten.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ContainerLeidingelement, Tower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Transportroute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Route samengesteld uit aaneengesloten buisleidingen.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Naam van de (hoofd)transportroute.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max 240 tekens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BuisleidingTypeValue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7 mogelijkheden aangegeven dmv codelijstwaarden.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EffectScenarioType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Scenario dat maatgevend is geweest voor de gegeven effectafstand dodelijk.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Het CAS-nummer van de voor het risico maatgevende stof.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Transportroutedeel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Deel van een buisleiding met gelijke waarden voor bepaalde buiskenmerken.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OlieGasChemicalienPijpleiding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transportroutedeel is onderdeel van een (hoofd)transportroute.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wanddikte van de buis in millimeters.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Effectafstand dodelijk letsel (1% letaliteit)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Zijnde de toetsingsafstand voor o.a. de inventarisatie van bebouwing voor de berekening van het groepsrisico alsook het omgaan met het restrisico. </w:t>
                  </w:r>
                  <w:r w:rsidR="00A655BD">
                    <w:t>De effectcontour komt bij elke transportroute voor.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Gemiddelde diepteligging bovenkant buis in cm tov het maaiveld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Advieswaarde: minimale dekking per elke 100 meter en/of elke 10-20 cm overgang. Bij bochten en grote dekking veranderingen praktisch aanpassen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(Hoofd)transportroute waar dit een van onderdeel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TransportrouteRisico</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A655BD">
              <w:trPr>
                <w:trHeight w:val="366"/>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Risicocontour behorend bij de hoofdtransportroute. </w:t>
                  </w:r>
                </w:p>
              </w:tc>
            </w:tr>
            <w:tr w:rsidR="00A655BD" w:rsidRPr="007175B7" w:rsidTr="00835884">
              <w:trPr>
                <w:tblHeader/>
                <w:tblCellSpacing w:w="0" w:type="dxa"/>
              </w:trPr>
              <w:tc>
                <w:tcPr>
                  <w:tcW w:w="360" w:type="dxa"/>
                  <w:hideMark/>
                </w:tcPr>
                <w:p w:rsidR="00A655BD" w:rsidRPr="007175B7" w:rsidRDefault="00A655BD" w:rsidP="00835884"/>
              </w:tc>
              <w:tc>
                <w:tcPr>
                  <w:tcW w:w="1500" w:type="dxa"/>
                  <w:hideMark/>
                </w:tcPr>
                <w:p w:rsidR="00A655BD" w:rsidRPr="007175B7" w:rsidRDefault="00A655BD" w:rsidP="00835884">
                  <w:r>
                    <w:t>Omschrijving:</w:t>
                  </w:r>
                </w:p>
              </w:tc>
              <w:tc>
                <w:tcPr>
                  <w:tcW w:w="0" w:type="auto"/>
                  <w:hideMark/>
                </w:tcPr>
                <w:p w:rsidR="00A655BD" w:rsidRPr="007175B7" w:rsidRDefault="00A655BD" w:rsidP="00835884">
                  <w:r>
                    <w:t>De risicocontour is een optioneel element bij een 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GM_MultiSurface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Geometrie v.d. risicontour 10-6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Transportroute waar de risicocontour betrekking op heeft.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Utiliteitsnet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verzameling netwerkelementen die tot één type nutsvoorzieningennet behoren.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UtilityNetwork,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Thema</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Het thema geeft aan welk type leiding het betreft en welke functie de leidingen hebben. Bijvoorbeeld datatransport, gas lage druk, laagspanning, riool etc. Gekozen kan worden uit een lijst van thema’s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Opmerking: Signaleringskabels die data vervoeren vallen onder datatransport.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TechnischContactpersoon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Persoon die gecontacteerd kan worden voor technisch-inhoudelijke informatie over deze dataset.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bijlage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Bijlage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bijlage document.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Onder andere verwijzing naar de eventueel gekoppelde tekst van de eis voorzorgsmaatregel voor dit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 het utiliteitsnet betreft dit de algemene informatie die bij het utiliteitsnet hoort en niet bij specifieke netelementen.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Waterleiding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Waterleiding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waterleiding voor het overbrengen van water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KabelOfLeiding, WaterPipe,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835884" w:rsidRDefault="00835884" w:rsidP="00835884"/>
    <w:p w:rsidR="00164A64" w:rsidRDefault="00164A64" w:rsidP="00164A64">
      <w:pPr>
        <w:pStyle w:val="Kop4"/>
        <w:rPr>
          <w:rFonts w:ascii="Verdana" w:hAnsi="Verdana"/>
          <w:sz w:val="16"/>
          <w:szCs w:val="16"/>
        </w:rPr>
      </w:pPr>
    </w:p>
    <w:p w:rsidR="00164A64" w:rsidRPr="00164A64" w:rsidRDefault="00C2546C" w:rsidP="00164A64">
      <w:pPr>
        <w:pStyle w:val="Kop4"/>
        <w:rPr>
          <w:rFonts w:ascii="Verdana" w:hAnsi="Verdana"/>
          <w:szCs w:val="20"/>
        </w:rPr>
      </w:pPr>
      <w:bookmarkStart w:id="6" w:name="_Toc435786008"/>
      <w:r>
        <w:rPr>
          <w:rFonts w:ascii="Verdana" w:hAnsi="Verdana"/>
          <w:szCs w:val="20"/>
        </w:rPr>
        <w:t>Data</w:t>
      </w:r>
      <w:r w:rsidR="00164A64" w:rsidRPr="00164A64">
        <w:rPr>
          <w:rFonts w:ascii="Verdana" w:hAnsi="Verdana"/>
          <w:szCs w:val="20"/>
        </w:rPr>
        <w:t>type</w:t>
      </w:r>
      <w:r>
        <w:rPr>
          <w:rFonts w:ascii="Verdana" w:hAnsi="Verdana"/>
          <w:szCs w:val="20"/>
        </w:rPr>
        <w:t>n</w:t>
      </w:r>
      <w:bookmarkEnd w:id="6"/>
    </w:p>
    <w:p w:rsidR="00835884" w:rsidRPr="007175B7" w:rsidRDefault="00835884" w:rsidP="00835884">
      <w:pPr>
        <w:pStyle w:val="Kop5"/>
        <w:rPr>
          <w:sz w:val="16"/>
          <w:szCs w:val="16"/>
        </w:rPr>
      </w:pPr>
      <w:r w:rsidRPr="007175B7">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Adres</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BAG-Adres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Beschrijving van een locatie van door middel van een adres.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Adresgegevens van Panden, Ligplaatsen en Staanplaatsen zijn beschreven in de BAG. Voor de attributen van net adres zijn de BAG definities gebruikt.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«dataType»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openbare ruimte naam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 Definition -- Een naam die aan een OPENBARE RUIMTE is toegekend in een daartoe strekkend formeel gemeentelijk besluit.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huisnummer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huisnummer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 Definition -- Een door of namens het gemeentebestuur ten aanzien van een adresseerbaar object toegekende nummering.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door of namens het gemeentebestuur ten aanzien van een adresseerbaar object toegekende toevoeging aan een huisnummer in de vorm van een alfanumeriek teken.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Integer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door of namens het gemeentebestuur ten aanzien van een adresseerbaar object toegekende nadere toevoeging aan een huisnummer of een combinatie van huisnummer en huisletter.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benaming van een door het gemeentebestuur aangewezen WOONPLAATS.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826499"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postcode</w:t>
            </w:r>
          </w:p>
          <w:tbl>
            <w:tblPr>
              <w:tblW w:w="5000" w:type="pct"/>
              <w:tblCellSpacing w:w="0" w:type="dxa"/>
              <w:tblCellMar>
                <w:top w:w="15" w:type="dxa"/>
                <w:left w:w="15" w:type="dxa"/>
                <w:bottom w:w="15" w:type="dxa"/>
                <w:right w:w="15" w:type="dxa"/>
              </w:tblCellMar>
              <w:tblLook w:val="04A0"/>
            </w:tblPr>
            <w:tblGrid>
              <w:gridCol w:w="79"/>
              <w:gridCol w:w="1010"/>
              <w:gridCol w:w="75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door TNT Post vastgestelde code behorende bij een bepaalde combinatie van een straatnaam en een huisnummer.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volgende regulier expressie beschrijft het format van een valide volledige postcode: [1-9]{1}[0-9]{3}[A-Z]{2}.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826499"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pPr>
                    <w:rPr>
                      <w:lang w:val="en-GB"/>
                    </w:rPr>
                  </w:pPr>
                  <w:r w:rsidRPr="007175B7">
                    <w:rPr>
                      <w:lang w:val="en-GB"/>
                    </w:rPr>
                    <w:t xml:space="preserve">BAG. http://www.digitaleoverheid.nl/onderwerpen/stelselinformatiepunt/stelsel-van-basisregistraties/stelselvoorzieningen/stelselcatalogus/begrippen/Adres/BAG/Nummeraanduiding/Postcode-Nummeraanduiding </w:t>
                  </w:r>
                </w:p>
              </w:tc>
            </w:tr>
          </w:tbl>
          <w:p w:rsidR="00835884" w:rsidRPr="007175B7" w:rsidRDefault="00835884" w:rsidP="00835884">
            <w:pPr>
              <w:rPr>
                <w:lang w:val="en-GB"/>
              </w:rPr>
            </w:pP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Tweeletterige afkorting van de landsnaam conform ISO 3166 - Country codes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identificatie BAG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BAG identifier van de nummeraanduiding van het adres zoals geregistreerd bij de BAG.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NEN3610ID</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NEN3610 ID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identificatiegegevens voor de universeel unieke identificatie van een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«dataType»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verwijzing naar een registratie van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identificatiecode binnen een registratie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‘LokaalId’ is de identificatiecode die een object heeft binnen een (lokale) registratie. De volgende karakters mogen in een lokaalID voorkomen: {”A”…”Z”, “a”…”z”, ”0”…”9”, “_”, “-“, “,”, ”.”}.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versie-aanduiding van een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attribuut ‘versie’ maakt geen deel uit van de identificatie van het object maar kan worden gebruikt om verschillende versies van hetzelfde object te identificeren.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TechnischContactpersoon</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Persoon die gecontacteerd kan worden voor technisch-inhoudelijke informatie over deze dataset.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«dataType»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email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164A64" w:rsidRDefault="00164A64" w:rsidP="00164A64">
      <w:pPr>
        <w:pStyle w:val="Kop4"/>
        <w:rPr>
          <w:rFonts w:ascii="Verdana" w:hAnsi="Verdana"/>
          <w:sz w:val="16"/>
          <w:szCs w:val="16"/>
        </w:rPr>
      </w:pPr>
    </w:p>
    <w:p w:rsidR="00164A64" w:rsidRDefault="00164A64" w:rsidP="00164A64">
      <w:pPr>
        <w:pStyle w:val="Kop4"/>
        <w:rPr>
          <w:rFonts w:ascii="Verdana" w:hAnsi="Verdana"/>
          <w:sz w:val="16"/>
          <w:szCs w:val="16"/>
        </w:rPr>
      </w:pPr>
    </w:p>
    <w:p w:rsidR="00164A64" w:rsidRPr="00164A64" w:rsidRDefault="00164A64" w:rsidP="00164A64">
      <w:pPr>
        <w:pStyle w:val="Kop4"/>
        <w:rPr>
          <w:rFonts w:ascii="Verdana" w:hAnsi="Verdana"/>
          <w:szCs w:val="20"/>
        </w:rPr>
      </w:pPr>
      <w:bookmarkStart w:id="7" w:name="_Toc435786009"/>
      <w:r w:rsidRPr="00164A64">
        <w:rPr>
          <w:rFonts w:ascii="Verdana" w:hAnsi="Verdana"/>
          <w:szCs w:val="20"/>
        </w:rPr>
        <w:t>Enumeraties en codelijsten</w:t>
      </w:r>
      <w:bookmarkEnd w:id="7"/>
    </w:p>
    <w:p w:rsidR="00164A64" w:rsidRDefault="00164A64" w:rsidP="00835884">
      <w:pPr>
        <w:pStyle w:val="Kop5"/>
        <w:rPr>
          <w:sz w:val="16"/>
          <w:szCs w:val="16"/>
        </w:rPr>
      </w:pPr>
      <w:r w:rsidRPr="001D7694">
        <w:rPr>
          <w:sz w:val="16"/>
          <w:szCs w:val="16"/>
        </w:rPr>
        <w:t>AnnotatieTypeValue</w:t>
      </w:r>
    </w:p>
    <w:p w:rsidR="00835884" w:rsidRPr="007175B7" w:rsidRDefault="00835884" w:rsidP="00835884">
      <w:pPr>
        <w:pStyle w:val="Kop5"/>
        <w:rPr>
          <w:sz w:val="16"/>
          <w:szCs w:val="16"/>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AnnotatieTypeValue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Codelijst met waarden voor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annotatiepijlpunt</w:t>
            </w:r>
          </w:p>
          <w:tbl>
            <w:tblPr>
              <w:tblW w:w="5000" w:type="pct"/>
              <w:tblCellSpacing w:w="0" w:type="dxa"/>
              <w:tblCellMar>
                <w:top w:w="15" w:type="dxa"/>
                <w:left w:w="15" w:type="dxa"/>
                <w:bottom w:w="15" w:type="dxa"/>
                <w:right w:w="15" w:type="dxa"/>
              </w:tblCellMar>
              <w:tblLook w:val="04A0"/>
            </w:tblPr>
            <w:tblGrid>
              <w:gridCol w:w="4983"/>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annotatielijn</w:t>
            </w:r>
          </w:p>
          <w:tbl>
            <w:tblPr>
              <w:tblW w:w="5000" w:type="pct"/>
              <w:tblCellSpacing w:w="0" w:type="dxa"/>
              <w:tblCellMar>
                <w:top w:w="15" w:type="dxa"/>
                <w:left w:w="15" w:type="dxa"/>
                <w:bottom w:w="15" w:type="dxa"/>
                <w:right w:w="15" w:type="dxa"/>
              </w:tblCellMar>
              <w:tblLook w:val="04A0"/>
            </w:tblPr>
            <w:tblGrid>
              <w:gridCol w:w="4983"/>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annotatielabel</w:t>
            </w:r>
          </w:p>
          <w:tbl>
            <w:tblPr>
              <w:tblW w:w="5000" w:type="pct"/>
              <w:tblCellSpacing w:w="0" w:type="dxa"/>
              <w:tblCellMar>
                <w:top w:w="15" w:type="dxa"/>
                <w:left w:w="15" w:type="dxa"/>
                <w:bottom w:w="15" w:type="dxa"/>
                <w:right w:w="15" w:type="dxa"/>
              </w:tblCellMar>
              <w:tblLook w:val="04A0"/>
            </w:tblPr>
            <w:tblGrid>
              <w:gridCol w:w="4983"/>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BestandMediaTypeValue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Technisch formaat van digitaal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PNG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image/PNG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PDF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application/PDF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JPEG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image/JPEG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TIFF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image/TIFF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BijlageTypeValue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Typering van een bijlage.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algemeen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Algemene tekst die als bijlage wordt meegeleverd.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bijlage geeft de eis voorzorgsmaatregel weer.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Netbeheerder heeft geen utiliteitsnet in dit gebied maar heeft wel een belang bij deze melding. De bijlage geeft het belang weer.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verzoekTotContact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Netbeheerder verzoekt tot opnemen contact.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valt buiten de wettelijke eis waaronder een eis voorzorgsmaatregel valt. Wordt gebruikt indien er geen wettelijke eis voorzorgsmaatregel geldt maar er wel contact verzocht wordt.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BuisleidingTypeValue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Soort buisleiding.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Classificatie gebruikt in RRGS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aardgasleiding (niet NEN)</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K1-leiding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K2-leiding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K3-leiding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defensieleiding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overig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aardgasleiding NEN-3650</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ContainerLeidingelementTypeValue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ContainerLeidingelementTypeValue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Classificatie van soorten container leidingelementen.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toren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toren-object dat dienst kan doen als drager van nutsvoorzieningenobjecten van een of meer nutsvoorzieningnetten.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mast-object dat dienst kan doen als drager van nutsvoorzieningenobjecten van een of meer nutsvoorzieningnetten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mangat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omhullingsobject dat een of meer nutsvoorzieningennetobjecten kan bevatten.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Graag voorbeelden......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kast-object dat nutsvoorzieningenobjecten kan bevatten die tot een of meer nutsvoorzieningennetwerken behoren.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technischGebouw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Heeft iemand een definitie?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DiepteAangrijpingspuntValue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Aangrijpingspunt van object van af waar de diepte wordt bepaald.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bovenkant</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Bovenste punt van het object op de plaats van meting.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binnenonderkantBuis</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Binnenonderkant buis van de leiding ter plaatse van het beginpunt.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Alleen optioneel toegestaan voor het thema riool vrijverval. -- Source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EffectScenarioType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 risico dat zich kan voordoen.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brandbaar</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explosief</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toxisch</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EigenTopografieStatusValue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Status van topografie die als extra locatie informatie, meestal voor maatvoering, wordt meegeleverd.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bestaand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Bestaande topografie die door de netbeheerder specifiek geregistreerd is ter bepaling van de locatie van een leiding.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plan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Topografie van nog niet gerealiseerde maar wel geplande topografie-objecten.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vergelijkbaar met plan topografie van BGT</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0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ElectricityAppurtenanceTypeIMKLValue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ElectricityAppurtenanceTypeValue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aarding</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mof</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aansluitkast</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centrale</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generator</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netstation</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onderstation</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punt van levering</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straatlantaren</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kbMeetpunt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meetpunt, meetpaal, meetelectrode, punt van meting op KB</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kbInstallatie</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anode, anodebed, galvanisch anode, gelijkrichter, bron of richter van KB</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kbEindpunt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isolatiestuk, eindpunt, algemeen niet verbindende KB node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kbContact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als algemeen verbindende KB node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hoogteligging</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adrespunt</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hoogbouwkoppelpunt</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geulmof</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ExtraDetailInfoTypeValue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Verschillende vormen van extra detailinformatie die opgenomen worden bij een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type detail dat niet met de andere waarden is benoemd.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een projecttekening van geplande objecten.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huisaansluiting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kabel of leiding die een kabel of leiding verbindt met een huisaansluitpunt.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kabel of leiding die een kabel of leiding verbindt met een aansluitpunt anders dan een huisaansluiting.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Aansluiting bijvoorbeeld voor een abri, straatverlichting.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profielschets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Dwars- en of lengteprofiel.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voorbeeld is een detailschets van kunstwerken, gestuurde boring ten behoeve van leidingtrace.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GasDistributieAppurtenanceTypeIMKLValue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GasDistributieAppurtenanceTypeIMKLValue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OilGasChemicalsAppurtenanceITypeIMKLValue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hoogbouwkoppelpunt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ontluchting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aftakzadel</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overgangsstuk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isolatiestuk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ontspanningselement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eindkap</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verloopstuk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afsluiter</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meetpunt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sifon</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blaasgat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gasstation</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knooppunt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markering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GasunieAppurtenanceIMKLTypeValue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GasunieAppurtenanceIMKLTypeValue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OilGasChemicalsAppurtenanceITypeIMKLValue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buis</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bocht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bodem</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lasnok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expansiestuk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isolatiekoppeling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vloeistofvanger</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raaginrichting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algemeen (gas) transport onderdeel</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26499" w:rsidRPr="004F4D98" w:rsidRDefault="00826499" w:rsidP="00826499">
      <w:pPr>
        <w:pStyle w:val="Kop5"/>
        <w:rPr>
          <w:sz w:val="16"/>
          <w:szCs w:val="16"/>
        </w:rPr>
      </w:pPr>
      <w:r w:rsidRPr="004F4D98">
        <w:rPr>
          <w:sz w:val="16"/>
          <w:szCs w:val="16"/>
        </w:rPr>
        <w:t>Labelpositie</w:t>
      </w:r>
      <w:r>
        <w:rPr>
          <w:sz w:val="16"/>
          <w:szCs w:val="16"/>
        </w:rPr>
        <w: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26499" w:rsidRPr="004F4D98" w:rsidTr="00D56F2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26499" w:rsidRPr="004F4D98" w:rsidRDefault="00826499" w:rsidP="00D56F24">
            <w:pPr>
              <w:spacing w:line="225" w:lineRule="atLeast"/>
            </w:pPr>
            <w:r w:rsidRPr="004F4D98">
              <w:rPr>
                <w:b/>
                <w:bCs/>
              </w:rPr>
              <w:t>Labelpositie</w:t>
            </w:r>
            <w:r>
              <w:rPr>
                <w:b/>
                <w:bCs/>
              </w:rPr>
              <w:t>Value</w:t>
            </w:r>
          </w:p>
        </w:tc>
      </w:tr>
      <w:tr w:rsidR="00826499" w:rsidRPr="004F4D98" w:rsidTr="00D56F2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Aangrijpingspunt van het label in relatie tot het plaatsingspunt. </w:t>
                  </w:r>
                </w:p>
              </w:tc>
            </w:tr>
            <w:tr w:rsidR="00826499" w:rsidRPr="004F4D98" w:rsidTr="00D56F24">
              <w:trPr>
                <w:tblHeader/>
                <w:tblCellSpacing w:w="0" w:type="dxa"/>
              </w:trPr>
              <w:tc>
                <w:tcPr>
                  <w:tcW w:w="360" w:type="dxa"/>
                  <w:hideMark/>
                </w:tcPr>
                <w:p w:rsidR="00826499" w:rsidRPr="004F4D98" w:rsidRDefault="00826499" w:rsidP="00D56F24">
                  <w:r w:rsidRPr="004F4D98">
                    <w:lastRenderedPageBreak/>
                    <w:t> </w:t>
                  </w:r>
                </w:p>
              </w:tc>
              <w:tc>
                <w:tcPr>
                  <w:tcW w:w="1500" w:type="dxa"/>
                  <w:hideMark/>
                </w:tcPr>
                <w:p w:rsidR="00826499" w:rsidRPr="004F4D98" w:rsidRDefault="00826499" w:rsidP="00D56F24">
                  <w:r w:rsidRPr="004F4D98">
                    <w:t>Herkomst:</w:t>
                  </w:r>
                </w:p>
              </w:tc>
              <w:tc>
                <w:tcPr>
                  <w:tcW w:w="0" w:type="auto"/>
                  <w:hideMark/>
                </w:tcPr>
                <w:p w:rsidR="00826499" w:rsidRPr="004F4D98" w:rsidRDefault="00826499" w:rsidP="00D56F24">
                  <w:r w:rsidRPr="004F4D98">
                    <w:t>IMKL</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Stereotypes:</w:t>
                  </w:r>
                </w:p>
              </w:tc>
              <w:tc>
                <w:tcPr>
                  <w:tcW w:w="0" w:type="auto"/>
                  <w:hideMark/>
                </w:tcPr>
                <w:p w:rsidR="00826499" w:rsidRPr="004F4D98" w:rsidRDefault="00826499" w:rsidP="00D56F24">
                  <w:r w:rsidRPr="004F4D98">
                    <w:t>«codeList»</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Governance:</w:t>
                  </w:r>
                </w:p>
              </w:tc>
              <w:tc>
                <w:tcPr>
                  <w:tcW w:w="0" w:type="auto"/>
                  <w:hideMark/>
                </w:tcPr>
                <w:p w:rsidR="00826499" w:rsidRPr="004F4D98" w:rsidRDefault="00826499" w:rsidP="00D56F24">
                  <w:r w:rsidRPr="004F4D98">
                    <w:t>Uitbreidbaar</w:t>
                  </w:r>
                </w:p>
              </w:tc>
            </w:tr>
          </w:tbl>
          <w:p w:rsidR="00826499" w:rsidRPr="004F4D98" w:rsidRDefault="00826499" w:rsidP="00D56F24"/>
        </w:tc>
      </w:tr>
      <w:tr w:rsidR="00826499" w:rsidRPr="004F4D98" w:rsidTr="00D56F2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lastRenderedPageBreak/>
              <w:t>Waarde: 0</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Label aangrijpingspunt horizontaal is links; label aangrijpingspunt verticaal is onder. </w:t>
                  </w:r>
                </w:p>
              </w:tc>
            </w:tr>
          </w:tbl>
          <w:p w:rsidR="00826499" w:rsidRPr="004F4D98" w:rsidRDefault="00826499" w:rsidP="00D56F24"/>
        </w:tc>
      </w:tr>
      <w:tr w:rsidR="00826499" w:rsidRPr="004F4D98" w:rsidTr="00D56F2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Waarde: 0.5</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Label aangrijpingspunt horizontaal is midden; label aangrijpingspunt verticaal is midden. </w:t>
                  </w:r>
                </w:p>
              </w:tc>
            </w:tr>
          </w:tbl>
          <w:p w:rsidR="00826499" w:rsidRPr="004F4D98" w:rsidRDefault="00826499" w:rsidP="00D56F24"/>
        </w:tc>
      </w:tr>
      <w:tr w:rsidR="00826499" w:rsidRPr="004F4D98" w:rsidTr="00D56F2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Waarde: 1</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Label aangrijpingspunt horizontaal is rechts; label aangrijpingspunt verticaal is boven. </w:t>
                  </w:r>
                </w:p>
              </w:tc>
            </w:tr>
          </w:tbl>
          <w:p w:rsidR="00826499" w:rsidRPr="004F4D98" w:rsidRDefault="00826499" w:rsidP="00D56F24"/>
        </w:tc>
      </w:tr>
    </w:tbl>
    <w:p w:rsidR="00835884" w:rsidRPr="007175B7" w:rsidRDefault="00835884" w:rsidP="00835884">
      <w:pPr>
        <w:pStyle w:val="Kop5"/>
        <w:rPr>
          <w:sz w:val="16"/>
          <w:szCs w:val="16"/>
        </w:rPr>
      </w:pPr>
      <w:r w:rsidRPr="007175B7">
        <w:rPr>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MaatvoeringsTypeValue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maatvoeringspijlpunt</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MateriaalTypeValue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NauwkeurigheidDiepteValue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Codelijst met nauwkeurigheid van dieptegegevens.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is onbekend.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30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50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100 cm.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NauwkeurigheidXYvalue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Codelijst met geografische nauwkeurigheid in het horizontale vlak.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30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50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100 cm.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9"/>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OilGasChemicalsAppurtenanceITypeIMKLValue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339"/>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RioolleidingTypeValue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Typering van soort rioolleiding.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bergingsleiding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gemengd riool</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hemelwaterriool</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vuilwaterriool</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zinker</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openLeiding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09"/>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SewerAppurtenanceTypeIMKLValue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889"/>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SewerAppurtenanceTypeValue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OPMERKING: waar zit dit in model?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gemaal</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infiltratievoorziening</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kolk</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kunstwerk</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reservoir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uitlaatconstructie</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aansluiting</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afsluiter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mangatbuis</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opvangbekken</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specifieke structuur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watertank of -kelder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3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TelecommunicationsAppurtenanceTypeIMKLValue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61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TelecommunicationsAppurtenanceTypeValue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antenna</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termination</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handhole</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mof</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algemeen telecom leidingelement</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stijgleiding</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kabelverdeler</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Thema</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Thema of discipline waar een leiding of leidingelement toe behoort.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buisleidingGevaarlijkeInhoud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 aardgasleidingen met een uitwendige diameter van meer dan 50 mm en een druk van meer dan 1600 kPa; b. buisleidingen voor het vervoer van brandbare vloeistoffen van de categorien K1, K2 of K3, met een uitwendige diameter van meer dan 100 mm; c. buisleidingen voor andere gevaarlijke stoffen dan bedoeld onder a en b, waarvoor het plaatsgebonden risico op een afstand van 5 m gemeten vanaf het hart van de buisleiding hoger is dan 10-6 per jaar. Artikel 1 (lid g,h,i en j) g. plaatsgebonden risico: risico op een plaats buiten een inrichting, een transportroute of een buisleiding, uitgedrukt als de kans per jaar dat een persoon die onafgebroken en onbeschermd op die plaats zou verblijven, overlijdt als rechtstreeks gevolg van een ongewoon voorval binnen die inrichting, op die transportroute of met die buisleiding, waarbij een gevaarlijke stof betrokken is; h. categorie K1: een product niet zijnde een brandbaar gas met een vlampunt dat, bepaald met het toestel van Abel-Pensky, bij een druk van 100 kPa lager is dan 21C; i. categorie K2: een product met een vlampunt dat, bepaald met het toestel van Abel-Pensky, bij een druk van 100 kPa ligt tussen de 21C en 55C; j. categorie K3: een product met een vlampunt dat, bepaald met het toestel van Pensky-Martens, bij een druk van 100 kPa hoger is dan 55C en lager is dan 100C;</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datatransport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De elektronische overdracht van signaalinformatie tussen punten via kabels die deel uitmaken van een net. NB: De aansluitleiding kan ook alleen op (huis)aansluitschetsen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gasHogeDruk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gasleiding hogedruk (HD) heeft een drukniveau hoger dan 200 mBar en bestaat uit een hoofdleiding en een aansluitleiding. HD druksoorten: 8, 4, 1 Bar. NB: De aansluitleiding kan ook alleen op (huis)aansluitschetsen voorkomen. Opmerking: In de praktijk kunnen netten vanaf 200 mBar op de HD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gasLageDruk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gasleiding lagedruk (LD) heeft een drukniveau lager dan 200 mBar en bestaat uit een hoofdleiding en een aansluitleiding. LD druksoorten: 100, 30 mBar. NB: De aansluitleiding kan ook alleen op (huis)aansluitschetsen voorkomen. Opmerking: In de praktijk kunnen netten tot en met 500 mBar op de LD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petrochemie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Leiding voor transport van olie of chemicalin, niet vallend onder het thema ‘Buisleiding gevaarlijke inhoud’.</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laagspanning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LS kabel bestaat uit hoofdnet en aansluitnet. LS = laagspanning (230 V en 400 V) NB: De aansluitleiding kan ook alleen op (huis)aansluitschetsen voorkomen. Opmerking: In de praktijk kunnen netten tot en met 1000 Volt op de LS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middenspanning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MS kabel bestaat uit hoofdnet en aansluitnet. MS = middenspanning (0,4 kV tot 30 kV) NB: De aansluitleiding kan ook alleen op (huis)aansluitschetsen voorkomen. Opmerking: In de praktijk kunnen netten van 400 Volt op de MS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hoogspanning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Toestand waarin het mogelijk is een elektrische stroom te creren; HS = hoogspanning (36 tot en met 220 kV). Opmerking: In de praktijk kunnen netten vanaf 20 kV t/m 220 kV op de HS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landelijkHoogspanningsnet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Toestand waarin het mogelijk is een elektrische stroom te creren;ZHS = zeer hoge spanning (110 kV tot en met 380 kV).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waterleiding bestaat uit transport-, distributie- en aansluitleidingen ten behoeve van (drink)water. NB: De aansluitleiding kan ook alleen op (huis)aansluitschetsen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warmte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warmtenet kan bestaan uit stadswarmte, centraal tapwater en een koude net. Een stadswarmtenet bestaat uit aanvoer- en retourleidingen. Onderverdeeld in: Transport-, en/of Wijknet en Aansluitleidingen. Leidingdiameters 40–1100 mm. Temp. 40-120° Druk 4-25 bar NB: De aansluitleiding kan ook alleen op (huis)aansluitschetsen voorkomen. Een centraal tapwaternet bestaat uit aanvoer- en recirculatieleidingen, Onderverdeeld in: Wijknet en Aansluitleidingen. Waarbij het mogelijk is dat aanvoer- en recirculatieleiding gecombineerd zijn in én mantel, of een gescheiden trac hebben. Temp. 66° Druk 2-4 bar NB: De aansluitleiding kan ook alleen op (huis)aansluitschetsen voorkomen. Een koudenet bestaat uit aanvoer- en retourleidingen. Onderverdeeld in: Transportnet, en Aansluitleidingen. Leidingdiameters 150–800 mm. Temp. 5-16° Druk 2-16 bar NB: De aansluitleiding kan ook alleen op (huis)aansluitschetsen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rioolOnderOverOfOnderdruk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Riolering waarbij het transport plaatsvindt door overdruk (uit NEN 3300, Buitenriolering) dan wel onderdruk.</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rioolVrijverval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Riool waardoor afvalwater door de zwaartekracht wordt getransporteerd (uit NEN 3300, Buitenriolering).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wees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Alle onbekende leidingen welke bij een eerdere grondroering zijn geconstateerd, die ook na onderzoek niet aan een beheerder waren toe te wijzen en waarvoor de gemeente ingevolge de WION de beheerdersverplichtingen vervult.</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Alle, niet bij de andere thema’s omschreven vormen van transport door middel van kabels en leidingen.</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ThermalAppurtenanceTypeIMKLValue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63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ThermalAppurtenanceTypeValue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put</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pompstation</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overdrachtsstation</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lekdetectiemeetpunt</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compensator</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TopografischObjectTypeValue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Soort topografisch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Typen gebaseerd op semantiek van IMGeo (grootschalige geografie)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waterloop</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fietspad</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sloot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erf</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buildingPart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overkapping</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loods</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hek</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draadraster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faunaraster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muur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steiger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stuw</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gemaal</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brug</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viaduct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CAI-kast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elektrakast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telecom 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rioolkast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portaal</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lichtmast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hectometerpaal</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kolk</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8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WaterAppurtenanceTypeIMKLValue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6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WaterAppurtenanceTypeValue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afsluiter</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diameterovergang</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materiaalovergang</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eindpunt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blindflens</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afsluitklep</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aftappunt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afvoerpunt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anode</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brandkraan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bron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controleventiel</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drukregelaar</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knooppunt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lateraal 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meetstation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meter</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ontluchtingsventiel</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opslagfaciliteit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pompstation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toevoerpunt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zuiveringsinstallatie</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Default="00835884" w:rsidP="00835884"/>
    <w:p w:rsidR="00835884" w:rsidRPr="00835884" w:rsidRDefault="00835884" w:rsidP="00835884"/>
    <w:p w:rsidR="00164A64" w:rsidRPr="00164A64" w:rsidRDefault="00164A64" w:rsidP="00164A64">
      <w:pPr>
        <w:pStyle w:val="Kop4"/>
        <w:rPr>
          <w:rFonts w:ascii="Verdana" w:hAnsi="Verdana"/>
          <w:szCs w:val="20"/>
        </w:rPr>
      </w:pPr>
      <w:bookmarkStart w:id="8" w:name="_Toc435786010"/>
      <w:r w:rsidRPr="00164A64">
        <w:rPr>
          <w:rFonts w:ascii="Verdana" w:hAnsi="Verdana"/>
          <w:szCs w:val="20"/>
        </w:rPr>
        <w:t>Kandidaat types en placeholders</w:t>
      </w:r>
      <w:bookmarkEnd w:id="8"/>
    </w:p>
    <w:p w:rsidR="00E87BCB" w:rsidRPr="007175B7" w:rsidRDefault="00164A64" w:rsidP="00E87BCB">
      <w:pPr>
        <w:pStyle w:val="Kop5"/>
        <w:rPr>
          <w:sz w:val="16"/>
          <w:szCs w:val="16"/>
        </w:rPr>
      </w:pPr>
      <w:r w:rsidRPr="001D7694">
        <w:rPr>
          <w:sz w:val="16"/>
          <w:szCs w:val="16"/>
        </w:rPr>
        <w:t>LocatorDesignatorTypeValue</w:t>
      </w:r>
      <w:r w:rsidR="00E87BCB" w:rsidRPr="00E87BCB">
        <w:rPr>
          <w:sz w:val="16"/>
          <w:szCs w:val="16"/>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LocatorDesignatorTypeValue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Description of the semantics of the locator designator.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rPr>
                      <w:lang w:val="en-GB"/>
                    </w:rPr>
                    <w:t xml:space="preserve">Centrally managed in INSPIRE code list register. </w:t>
                  </w:r>
                  <w:r w:rsidRPr="007175B7">
                    <w:t>URN: urn:x-inspire:def:codeList:INSPIRE:LocatorDesignatorTypeValue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Address identifier composed by numbers and/or characters.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Address identifier composed only by numbers.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Extension to the address number.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E.g., in the Czech Republic a new address situated between two old addresses with numbers "2" and "3" receives a number "2" with an extension "a" so the full address number becomes "2a".</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Second extension to the address number.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Building identifier composed by numbers and/or characters.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Prefix to the building number.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In the Czech Republic the building numbers can have prefix to distinguish between two types of buildings: "c. p." (descriptive number) for buildings of permanent character and "c. evid." (registration number) for temporary dwelling (e.g. holiday cottagesand garages).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Identifier for an entrance door, gate, or port.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Identifier for a staircase, normally inside a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Identifier of a floor or level inside a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unitIdentifier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Identifier of a door, dwelling, suite or room inside a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Identifier of a postal delivery point.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A Post office box (P.O. box).</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mark on a road whose number identifies the existing distance between the origin point of the road and that mark, measured along the road.</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Address identifier related to the primary thoroughfare name in a corner address.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NOTE The concept of corner addresses with a primary and secondary thoroughfare name, each with an address identifier. </w:t>
                  </w:r>
                  <w:r w:rsidRPr="007175B7">
                    <w:t>Is used, e.g. in Lithuania and Estonia.</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Address identifier related to the secondary thoroughfare name in a corner address.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NOTE The concept of corner addresses with a primary and secondary thoroughfare name, each with an address identifier. </w:t>
                  </w:r>
                  <w:r w:rsidRPr="007175B7">
                    <w:t>Is used, e.g. in Lithuania and Estonia.</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LocatorLevelValue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level to which the locator refers.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urn:x-inspire:def:codeList:INSPIRE:LocatorLevelValue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siteLevel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locator identifies a specific plot of land, building or similar property by use of an address number, building number, building or property name.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locator identifies a specific access to a plot of land, building or similar by use of an entrance number or similar identifier.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unitLevel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locator identifies a specific part of a building.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unit level can be, e.g., a dwelling, flat, apartment, room or household, inside a building by use of for example staircase identifier, floor identifier and/or unit number, name.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locator identifies a postal delivery point.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Postal delivery point can be, e.g., a P.O. box, a private bag, a business reply mail or a large volume receiver.</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GeometryMethodValue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Description of how and by whom this geographic position of the address was created or derived.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Information on what type of spatial feature the geographic position of the address was created or derived from, is represented by the GeometrySpecificationValue.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urn:x-inspire:def:codeList:INSPIRE:GeometryMethodValue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fromFeature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Derived automatically from another INSPIRE spatial object which is related to the address or address component.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byAdministrator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Decided and recorded manually by the official body responsible for address allocation or by the dataset custodian.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Decided and recorded manually by other party.</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 xml:space="preserve">AddressComponent (abstract) </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Identifier or geographic name of a specific geographic area, location, or other spatial object which defines the scope of an address.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address component.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thematic identifier of the address component spatial object, which enables interoperability with existing legacy systems or applications.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is recorded to enable the generation of change only update files.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is recorded primarily for those systems which "close" an entry in the spatial data set in the event of an attribute change.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Validity of the address component within the life-cycle (version) of the address component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status relates to the address component and is not a property of the object to which the address is assigned (the addressable object).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of which this version of the address component was or will be valid in the real world.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and time can be set in the future for situations where an address component or a version of an address component has been decided by the appropriate authority to take effect for a future date.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the address component ceased or will cease to exist in the real world.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AddressComponent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Another address component within which the geographic feature represented by this address component is situated.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date set endLifespanVersion must be later than beginLifespanVersion (if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self.endLifespanVersion .isAfter(self.beginLifespanVersion)</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Measure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ProductionAndIndustrialFacilitiesExtension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Declared or measured quantity of any kind of physical entity.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Decimal</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Declared or measured physical size expressed as a numerical quantity.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data format is decimal. Decimal is a data type in which the number represents an exact value, as a finite representation of a decimal number.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UnitOfMeasure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Unit of measure accompanying the numerical quantity declared or measured for a physical entity.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ResidenceOfAuthority</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Data type representing the name and position of a residence of authority.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the residence of authority.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GM_Point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Position of the residence of authority.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AdministrativeBoundary</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administrative boundary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line of demarcation between administrative units.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inserted or changed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country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CountryCode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Two-character country code according to the Interinstitutional style guide published by the Publications Office of the European Union.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superseded or retired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geometry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GM_Curve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Geometric representation of border line.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inspire id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legalStatus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legal status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LegalStatusValue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Legal status of this administrative boundary.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legal status is considered in terms of political agreement or disagreement of the administrative units separated by this boundary.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national level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AdministrativeHierarchyLevel</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hierarchy levels of all adjacent administrative units this boundary is part of.</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1..6</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technical status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TechnicalStatusValue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technical status of the administrative boundary.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technical status of the boundary is considered in terms of its topological matching or not-matching with the borders of all separated administrative units. Edge-matched means that the same set of coordinates is used.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 unit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administrative units separated by this administrative boundary.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In case of a national boundary (i.e. nationalLevel='1st order') only one national administrative unit (i.e. country) is provided.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AdministrativeUnit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administrative unit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Unit of administration where a Member State has and/or exercises jurisdictional rights, for local, regional and national governance.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inserted or changed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country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CountryCode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Two-character country code according to the Interinstitutional style guide published by the Publications Office of the European Union.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superseded or retired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geometry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GM_MultiSurface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Geometric representation of spatial area covered by this administrative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inspire id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Official national geographical name of the administrative unit, given in several languages where required.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national code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Thematic identifier corresponding to the national administrative codes defined in each country.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national level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AdministrativeHierarchyLevel</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Level in the national administrative hierarchy, at which the administrative unit is established.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national level 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LocalisedCharacterString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Name of the level in the national administrative hierarchy, at which the administrative unit is established.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residence of authority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ResidenceOfAuthority</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Center for national or local administration.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lower level unit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Units established at a lower level of the national administrative hierarchy which are administered by the administrative unit.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For administrative units at the lowest level of the national hierarchy no lower level unit exists. CONSTRAINT Each administrative unit except for the lowest level units shall refer to its lower level units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upper level unit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unit established at a higher level of national administrative hierarchy that this administrative unit administers.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Relatie: condominium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condominium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Condominium</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Condominium administered by this administrative unit.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Condominiums may only exist at state level and can be administered only by administrative units at the highest level of the national administrative hierarchy (i.e. countries).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administered by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Administrative unit established at same level of national administrative hierarchy that administers this administrative unit.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 administer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Administrative unit established at same level of national administrative hierarchy which is co-administered by this administrative unit.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boundary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boundary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AdministrativeBoundary</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administrative boundaries between this administrative unit and all the units adjacent to it.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No unit at highest level can associate units at a higher level.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self.nationalLevel = '1stOrder' implies self.upperLevelUnit-&gt;isEmpty() and self.loweLevelUnit-&gt;notEmpty()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No unit at lowest level can associate units at lower level.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self.nationalLevel = '6thOrder' implies self.lowerLevelUnit-&gt;isEmpty and self.upperLevelUnit-&gt;notEmpty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Association role condominium applies only for administrative units which nationalLevel='1st order' (country level).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self.condominium-&gt;notEmpty implies self.nationalLevel = '1stOrder'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AdministrativeHierarchyLevel</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administrative hierarchy level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rPr>
                      <w:lang w:val="en-GB"/>
                    </w:rPr>
                    <w:t xml:space="preserve">Centrally managed in INSPIRE code list register. </w:t>
                  </w:r>
                  <w:r w:rsidRPr="007175B7">
                    <w:t>URN: urn:x-inspire:def:codeList:INSPIRE:AdministrativeHierarchyLevel</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Highest level in the national administrative hierarchy (country level).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2</w:t>
                  </w:r>
                  <w:r w:rsidRPr="007175B7">
                    <w:rPr>
                      <w:vertAlign w:val="superscript"/>
                      <w:lang w:val="en-GB"/>
                    </w:rPr>
                    <w:t>nd</w:t>
                  </w:r>
                  <w:r w:rsidRPr="007175B7">
                    <w:rPr>
                      <w:lang w:val="en-GB"/>
                    </w:rPr>
                    <w:t xml:space="preserve"> level in the national administrative hierarchy.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3</w:t>
                  </w:r>
                  <w:r w:rsidRPr="007175B7">
                    <w:rPr>
                      <w:vertAlign w:val="superscript"/>
                      <w:lang w:val="en-GB"/>
                    </w:rPr>
                    <w:t>rd</w:t>
                  </w:r>
                  <w:r w:rsidRPr="007175B7">
                    <w:rPr>
                      <w:lang w:val="en-GB"/>
                    </w:rPr>
                    <w:t xml:space="preserve"> level in the national administrative hierarchy.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4</w:t>
                  </w:r>
                  <w:r w:rsidRPr="007175B7">
                    <w:rPr>
                      <w:vertAlign w:val="superscript"/>
                      <w:lang w:val="en-GB"/>
                    </w:rPr>
                    <w:t>th</w:t>
                  </w:r>
                  <w:r w:rsidRPr="007175B7">
                    <w:rPr>
                      <w:lang w:val="en-GB"/>
                    </w:rPr>
                    <w:t xml:space="preserve"> level in the national administrative hierarchy.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5</w:t>
                  </w:r>
                  <w:r w:rsidRPr="007175B7">
                    <w:rPr>
                      <w:vertAlign w:val="superscript"/>
                      <w:lang w:val="en-GB"/>
                    </w:rPr>
                    <w:t>th</w:t>
                  </w:r>
                  <w:r w:rsidRPr="007175B7">
                    <w:rPr>
                      <w:lang w:val="en-GB"/>
                    </w:rPr>
                    <w:t xml:space="preserve"> level in the national administrative hierarchy.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6</w:t>
                  </w:r>
                  <w:r w:rsidRPr="007175B7">
                    <w:rPr>
                      <w:vertAlign w:val="superscript"/>
                      <w:lang w:val="en-GB"/>
                    </w:rPr>
                    <w:t>th</w:t>
                  </w:r>
                  <w:r w:rsidRPr="007175B7">
                    <w:rPr>
                      <w:lang w:val="en-GB"/>
                    </w:rPr>
                    <w:t xml:space="preserve"> level in the national administrative hierarchy.</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Condominium</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condominium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 administrative area established independently to any national administrative division of territory and administered by two or more countries.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Condominium is not a part of any national administrative hierarchy of territory division in Member State.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inserted or changed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superseded or retired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geometry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GM_MultiSurface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Geometric representation of spatial area covered by this condominium.</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inspire id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Official geographical name of this condominium, given in several languages where required.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 unit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administrative unit administering the condominium.</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Address</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 identification of the fixed location of property by means of a structured composition of geographic names and identifiers.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address.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thematic identifier of the address spatial object, which enables interoperability with existing legacy systems or applications.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GeographicPosition</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of a characteristic point which represents the location of the address according to a certain specification, including information on the origin of the position.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Validity of the address within the life-cycle (version) of the address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status relates to the address and is not a property of the object to which the address is assigned (the addressable object).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AddressLocator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Human readable designator or name.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of which this version of the address was or will be valid in the real world.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and time can be set in the future for situations where an address or a version of an address has been decided by the appropriate authority to take effect for a future date.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address ceased or will cease to exist in the real world.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is recorded to enable the generation of change only update files.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is recorded primarily for those systems which "close" an entry in the spatial data set in the event of an attribute change.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building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AbstractConstruction</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Building that the address is assigned to or associated with.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CadastralParcel</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Cadastral parcel that this address is assigned to or associated with.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main (parent) address with which this (sub) address is tightly connected.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Relatie: component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AddressComponent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Represents that the address component is engaged as a part of the address.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An address shall have an admin unit address component spatial object whose level is 1 (Country)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self.component -&gt; forAll (a1 | exists(a1.parent.oclIsTypeOf(AdminUnitName) and a1.parent.level=1))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An address shall have exactly one default geographic position (default attribute of GeographicPosition must be true)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self.position -&gt; one(a1 | a1.default = true)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date set endLifespanVersion must be later than beginLifespanVersion (if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self.endLifespanVersion.isAfter(self.beginLifespanVersion)</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GeographicPosition</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position of a characteristic point which represents the location of the address according to a certain specification, including information on the origin of the position.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GM_Point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position of the point expressed in coordinates in the chosen spatial reference system.</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GeometrySpecificationValue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Information defining the specification used to create or derive this geographic position of the address.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GeometryMethodValue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Description of how and by whom the geographic position of the address was created or derived.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default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Boolean</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Specifies whether or not this position should be considered as the default.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As a member state may provide several positions of an address, there is a need to identify the commonly used (main) position. Preferrably, the default position should be the one with best accuracy.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AddressRepresentation</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Representation of an address spatial object for use in external application schemas that need to include the basic, address information in a readable way.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adminUnit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name or names of a unit of administration where a Member State has and/or exercises jurisdictional rights, for local, regional and national governance.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rPr>
                      <w:lang w:val="en-GB"/>
                    </w:rPr>
                    <w:t xml:space="preserve">A number or a sequence of characters which allows a user or an application to interpret, parse and format the locator within the relevant scope. </w:t>
                  </w:r>
                  <w:r w:rsidRPr="007175B7">
                    <w:t>A locator may include more locator designators.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Proper noun(s) applied to the real world entity identified by the locator.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name or names of a geographic area or locality that groups a number of addressable objects for addressing purposes, without being an administrative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One or more names created and maintained for postal purposes to identify a subdivision of addresses and postal delivery points.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code created and maintained for postal purposes to identify a subdivision of addresses and postal delivery points.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name or names of a passage or way through from one location to another like a road or a waterway.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Relatie: addressFeature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Reference to the address spatial object.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LocatorDesignator</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number or a sequence of characters that uniquely identifies the locator within the relevant scope(s). The full identification of the locator could include one or more locator designators.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identifying part of the locator designator composed by one or more digits or other characters.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LocatorDesignatorTypeValue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type of locator value, which enables an application to interpret, parse or format it according to certain rules.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type enables a user or an application to understand if the value "A" is e.g. an identifier of a specific building, door, staircase or dwelling.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LocatorName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noun applied to the real world entity identified by the locator.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locator name could be the name of the property or complex, of the building or part of the building, or it could be the name of a room inside a building.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identifying part of the locator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LocatorNameTypeValue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type of locator value, which enables an application to interpret, parse or format it according to certain rules.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type enables a user or an application to understand if the name "Radford Mill Farm" is for example a name of a specific site or of a building.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StatusValue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Current validity of the real world address or address component.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urn:x-inspire:def:codeList:INSPIRE:StatusValue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current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Current and valid address according to official body responsible for address allocation or deemed, by the dataset custodian, to be the most appropriate, commonly used address.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retired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An address no longer in every day use or abolished by the official body responsible for address allocation or by the dataset custodian.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proposed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An address awaiting approval by the dataset custodian or official body responsible for address allocation.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reserved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An address approved by the by the official body responsible for address allocation or by the dataset custodian, but yet to be implemented.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An address in common use but different from the master address as determined by the official body responsible for address allocation or by the dataset custodian.</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GeometrySpecificationValue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Information defining the specification used to create or derive this geographic position of the address.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urn:x-inspire:def:codeList:INSPIRE:GeometrySpecificationValue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a postal delivery point.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a point of utility service.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the access point from the thoroughfare.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entrance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the entrance door or gate.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the related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the related land parcel.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segment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segment of a thoroughfare.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postcode area.</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address area.</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1st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2nd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3rd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4th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5th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6th order.</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AddressLocator</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LocatorDesignator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number or a sequence of characters that uniquely identifies the locator within the relevant scope(s).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geographic name or descriptive text associated to a property identified by the locator.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LocatorLevelValue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level to which the locator refers.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AddressComponent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address component that defines the scope within which the address locator is assigned according to rules ensuring unambiguousness.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no designator exists, a name is required.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self.designator-&gt;isEmpty() implies self.name-&gt;notEmpty()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Constraint: NameEmpty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no name exists, a designator is required.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self.name-&gt;isEmpty() implies self.designator-&gt;notEmpty()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LocatorNameTypeValue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Description of the semantics of the locator name.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urn:x-inspire:def:codeList:INSPIRE:LocatorNameTypeValue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siteName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real estate, building complex or site.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name of a manor, shopping mall or university campus.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building or part of building.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EXAMPLE "East Wing".</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roomName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Identifier of a dwelling, suite or room inside a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Narrative, textual description of the location or addressable object.</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ConditionOfConstructionValue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Condition of construction value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Values indicating the condition of a construction.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ElevationReferenceValue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reference value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List of possible elements considered to capture a vertical geometry.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values of this code list are used to describe the reference of elevation both where elevation has been captured as attribute or as Z coordinate.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DateOfEvent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Date of event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This data type includes the different possible ways to define the date of an event.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Any point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date and time of any point of the event, between its beginning and its end.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Beginning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when the event begun.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when the event ended.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At least, one of the attributes beginning, end or anyPoint shall be supplied.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r w:rsidRPr="007175B7">
                    <w:t>inv: dateOfEvent-&gt;notEmpty()</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inv: beginning &lt;= anyPoint and anyPoint &lt;= end and beginning &lt;= end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ExternalReference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External reference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Reference to an external information system containing any piece of information related to the spatial object.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Information system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URI</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Uniform Resource Identifier of the external information system.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Information system 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PT_FreeText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name of the external information system.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Danish Register of Dwellings, Spanish Cadastre.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of the spatial object or of any piece of information related to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HeightStatusValue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Height status value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Values indicating the method used to capture a height.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Elevation</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This data types includes the elevation value itself and information on how this elevation was measured.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ElevationReferenceValue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Element where the elevation was measured.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value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DirectPosition</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Value of the elevation.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HeightAboveGround</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Height above ground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Vertical distance (measured or estimated) between a low reference and a high reference.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Height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ElevationReferenceValue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Element used as the high reference.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height of the building has been captured up to the top of building.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Low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ElevationReferenceValue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Element as the low reference.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height of the building has been captured from its the lowest ground point.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Status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HeightStatusValue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way the height has been captured.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Value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Value of the height above ground.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Value shall be in meters.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self.value.uom.uomSymbol='m'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 xml:space="preserve">AbstractConstruction (abstract) </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Abstract construction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optional spatial object types that may be added to core profiles are described in the extended profiles. The ones inheriting from the attributes of AbstractConstruction are Installation and OtherConstruction.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Condition of construction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ConditionOfConstructionValue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Status of the construction.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EXAMPLES: functional, projected, ruin</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Date of construction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DateOfEvent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Date of construction.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Date of demolition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DateOfEvent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Date of demolition.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Date of last major renovation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DateOfEvent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of last major renovation.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Elevation</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Vertically-constrained dimensional property consisting of an absolute measure referenced to a well-defined surface which is commonly taken as origin (geoïd, water level, etc.).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the definition given in the data specification of the theme Elevation.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External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ExternalReference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Reference to an external information system containing any piece of information related to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Height above ground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HeightAboveGround</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Height above ground.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height above ground may be defined as the difference between elevation at a low reference (ground level) and elevation as a high reference (e.g. roof level, top of construction)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inspire id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Name of the construction.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Big Ben, Eiffel Tower, Sacrada Familia</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PipeMaterialTypeValue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Extended Utility Network Elements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Pipe material type value (Extended)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Codelist containing a classification of pipe material types.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ABS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Acrylonitrile butadiene styrene (ABS).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asbestos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Asbestos. </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blackIron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Iron without any finish on it, gray-black in color.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blackSteel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Steel with a surface layer of dark coloured iron oxides.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castIron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Iron with a high Carbon content (above 2%). </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clay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Clay.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Composite concrete.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Concrete.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Chlorinated polyvinyl chloride (CPVC).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Fibre reinforced plastic (FRP).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Galvanized steel.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masonry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Masonry.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Other.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PB</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Polybutylene (PB).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Polyethylene (PE). </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PEX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Cross-linked high-density polyethylene (PEX). </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Polypropylene (PP).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Prestressed reinforced concrete.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Polyvinyl chloride (PVC).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Reinforced concrete.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RPMP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Reinforced polymer mortar (RPMP).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Steel.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terracota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Terracota.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wood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Wood.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UtilityNetwork</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utility network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Collection of network elements that belong to a single type of utility network.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Network</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7175B7">
                    <w:rPr>
                      <w:i/>
                      <w:iCs/>
                      <w:lang w:val="en-GB"/>
                    </w:rPr>
                    <w:t>nodes</w:t>
                  </w:r>
                  <w:r w:rsidRPr="007175B7">
                    <w:rPr>
                      <w:lang w:val="en-GB"/>
                    </w:rPr>
                    <w:t xml:space="preserve">) and polylines (aka </w:t>
                  </w:r>
                  <w:r w:rsidRPr="007175B7">
                    <w:rPr>
                      <w:i/>
                      <w:iCs/>
                      <w:lang w:val="en-GB"/>
                    </w:rPr>
                    <w:t>arcs</w:t>
                  </w:r>
                  <w:r w:rsidRPr="007175B7">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utility network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UtilityNetworkTypeValue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type of utility network or the utilily network theme.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authority role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RelatedParty</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Parties authorized to manage a utility network, such as maintainers, operators or owners.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utility facility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ActivityComplex</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Reference to a facility activity complex that is linked to (e.g. part of) this utility network.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This reference can be used to link utility facilities - having a more complex geometry - to a utility network.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disclaimer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PT_FreeText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Legal text describing confidentiality clauses applying to the utility network information.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networks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UtilityNetwork</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single sub-network that can be considered as part of a higher-order utility network.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The multiplicity of "telecommunications" shall be 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r w:rsidRPr="007175B7">
                    <w:t xml:space="preserve">inv: telecommunications-&gt;size()=0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All utility network objects have an external object identifier.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r w:rsidRPr="007175B7">
                    <w:t xml:space="preserve">inv:inspireId-&gt;notEmpty()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Cabinet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cabinet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Simple cabinet object which may carry utility objects belonging to either single or multiple utility networks.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UtilityNodeContainer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Cabinets represent mountable node objects that can contain smaller utility devices and cables.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UtilityNetworkTypeValue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utility network type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utility network types.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electricity</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oilGasChemicals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sewer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thermal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telecommunications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pipe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utility link or link sequence for the conveyance of solids, liquids, chemicals or gases from one location to another. A pipe can also be used as an object to encase several cables (a bundle of cables) or other (smaller) pipes.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UtilityLinkSet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pipe diameter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Measure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Pipe outer diameter.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For convex shaped objects (e.g. a circle) the diameter is defined to be the largest distance that can be formed between two opposite parallel lines tangent to its boundery.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pressure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pressure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Measure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maximum allowable operating pressure at which a product is conveyed through a pipe.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unit of measure for pressure is commonly expressed in "bar".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cables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Cable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pipe may contain one or more cables.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pipes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Pipe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pipe may contain one or more pipes.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Pole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pole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Simple pole (mast) object which may carry utility objects belonging to either single or multiple utility networks.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UtilityNodeContainer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Poles represent node objects that can support utility devices and cables.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pole height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height of the pole.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height is the vertical extend measuring accross the object - in this case, the pole - at right angles to the lenght.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Duct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duct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utility link or link sequence used to protect and guide cable and pipes via an encasing construction.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UtilityLinkSet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duct width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width of the duct.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measurement of the object - in this case, the duct - from side to side.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ducts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Duct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single duct or set of ducts that constitute the inner-duct.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cables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Cable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duct may contain one or more cables.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pipes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Pipe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set of pipes that constitute the duct bank.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The multiplicity of "utilityDeliveryType" shall be 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r w:rsidRPr="007175B7">
                    <w:t xml:space="preserve">inv: utilityDeliveryType-&gt;size()=0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Tower</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tower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Simple tower object which may carry utility objects belonging to either single or multiple utility networks.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UtilityNodeContainer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Towers represent node objects that support reservoirs, cables or antennas.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towerHeight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tower height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height of the tower.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height is the vertical extend measuring accross the object - in this case, the tower - at right angles to the lenght.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 xml:space="preserve">Cable (abstract) </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utility link or link sequence used to convey electricity or data from one location to another.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UtilityLinkSet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Manhole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manhole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Simple container object which may contain either single or multiple utility networks objects.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UtilityNodeContainer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 xml:space="preserve">Manholes perform following functions: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drainage for the conduit system so that freezing water does not damage the conduit or wires.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a location for bending the conduit run without damaging the wires.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a junction for conduits coming from different directions.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access to the system for maintenance.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appurtenance type </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Appurtenance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appurtenance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 appurtenance is a node object that is described by its type (via the attribute "appurtenanceType").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appurtenance type value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Type of appurtenance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"AppurtenanceTypeValue" codelist is an abstract codelist that can be replaced by the various appurtenance type value codelists for each utility network.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specific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SpecificAppurtenanceTypeValue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Type of appurtenance according to a domain-specific classification.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SpecificAppurtenanceTypeValue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specific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Domain-specific classification of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OilGasChemicalsProductTypeValue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Oil-Gas-Chemicals Network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oil, gas and chemicals product type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oil, gas and chemicals products.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liquefiedNaturalGas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methane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naturalGas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naturalGasAndTetrahydrothiophene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nitrogenGas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residualGas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accetone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air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argon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butadiene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butadiene1,3</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butane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c3</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carbonMonoxide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chlorine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compressedAir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crude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 xml:space="preserve">Waarde: dichloroethane </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diesel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ethylene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gasFabricationOfCocs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gasHFx</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gasoil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hydrogen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isobutane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JET-A1</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kerosene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liquidAmmonia</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 xml:space="preserve">Waarde: liquidHydrocarbon </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multiProduct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MVC</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nitrogen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oxygen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phenol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propane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propyleen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propylene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raffinate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refineryProducts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saltWater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saumur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tetrachloroethane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unknown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empty</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OilGasChemicalsPipe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Oil-Gas-Chemicals Network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oil, gas and chemicals pipe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pipe used to convey oil, gas or chemicals from one location to another.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Pipe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oil, gas and chemicals product type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OilGasChemicalsProductTypeValue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type of oil, gas or chemicals product that is conveyed through the oil, gas, chemicals pipe.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ElectricityCable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Electricity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electricity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utility link or link sequence used to convey electricity from one location to another.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Cable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operating voltage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Measure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utilization or operating voltage by the equipment using the electricity.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nominal voltage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Measure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nominal system voltage at the point of supply.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ElectricityAppurtenanceTypeValue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Electricity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electricity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electricity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Capacitor control.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Capacior control</w:t>
                  </w:r>
                  <w:r w:rsidRPr="007175B7">
                    <w:rPr>
                      <w:lang w:val="en-GB"/>
                    </w:rPr>
                    <w: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Connection box.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Connection box</w:t>
                  </w:r>
                  <w:r w:rsidRPr="007175B7">
                    <w:rPr>
                      <w:lang w:val="en-GB"/>
                    </w:rPr>
                    <w:t xml:space="preserve"> protects and/or encloses electric circuits and equipment on the ground.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Power factor correcting equipment.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Power distribution is more efficient if operated when the </w:t>
                  </w:r>
                  <w:r w:rsidRPr="007175B7">
                    <w:rPr>
                      <w:i/>
                      <w:iCs/>
                      <w:lang w:val="en-GB"/>
                    </w:rPr>
                    <w:t>power factor</w:t>
                  </w:r>
                  <w:r w:rsidRPr="007175B7">
                    <w:rPr>
                      <w:lang w:val="en-GB"/>
                    </w:rPr>
                    <w: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Delivery point.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Point the electric power is being delivered to.</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Dynamic protective device.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In addition to opening when a fault is detected, </w:t>
                  </w:r>
                  <w:r w:rsidRPr="007175B7">
                    <w:rPr>
                      <w:i/>
                      <w:iCs/>
                      <w:lang w:val="en-GB"/>
                    </w:rPr>
                    <w:t>dynamic protective devices</w:t>
                  </w:r>
                  <w:r w:rsidRPr="007175B7">
                    <w:rPr>
                      <w:lang w:val="en-GB"/>
                    </w:rPr>
                    <w: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fuse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Fuse.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Fuses </w:t>
                  </w:r>
                  <w:r w:rsidRPr="007175B7">
                    <w:rPr>
                      <w:lang w:val="en-GB"/>
                    </w:rPr>
                    <w: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generator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Generator.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Generator </w:t>
                  </w:r>
                  <w:r w:rsidRPr="007175B7">
                    <w:rPr>
                      <w:lang w:val="en-GB"/>
                    </w:rPr>
                    <w:t>is an alternative, third-party power source feeding into the electrical network.</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Load tap changer.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Load tap changer</w:t>
                  </w:r>
                  <w:r w:rsidRPr="007175B7">
                    <w:rPr>
                      <w:lang w:val="en-GB"/>
                    </w:rPr>
                    <w: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mainStation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Main station.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Electric station</w:t>
                  </w:r>
                  <w:r w:rsidRPr="007175B7">
                    <w:rPr>
                      <w:lang w:val="en-GB"/>
                    </w:rPr>
                    <w: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netStation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Net station.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Net station.</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Network protector.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Network transformers connect to the secondary network through a </w:t>
                  </w:r>
                  <w:r w:rsidRPr="007175B7">
                    <w:rPr>
                      <w:i/>
                      <w:iCs/>
                      <w:lang w:val="en-GB"/>
                    </w:rPr>
                    <w:t>network protector</w:t>
                  </w:r>
                  <w:r w:rsidRPr="007175B7">
                    <w:rPr>
                      <w:lang w:val="en-GB"/>
                    </w:rPr>
                    <w:t>. Network protector components may be the circuit breaker, relays, backup fuses and controls required for automatically disconnecting a transformer from the secondary network in response to predetermined conditions on primary feeder or transformer.</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openPoint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Open point. </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i/>
                      <w:iCs/>
                      <w:lang w:val="en-GB"/>
                    </w:rPr>
                    <w:t>Open point</w:t>
                  </w:r>
                  <w:r w:rsidRPr="007175B7">
                    <w:rPr>
                      <w:lang w:val="en-GB"/>
                    </w:rPr>
                    <w: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t>
                  </w:r>
                  <w:r w:rsidRPr="007175B7">
                    <w:t>This is known as a dead-front configuration.</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primaryMeter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Primary meter.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Primary meters </w:t>
                  </w:r>
                  <w:r w:rsidRPr="007175B7">
                    <w:rPr>
                      <w:lang w:val="en-GB"/>
                    </w:rPr>
                    <w: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Recloser electronic control.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Reclosers </w:t>
                  </w:r>
                  <w:r w:rsidRPr="007175B7">
                    <w:rPr>
                      <w:lang w:val="en-GB"/>
                    </w:rPr>
                    <w: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Recloser hydraulic control.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i/>
                      <w:iCs/>
                      <w:lang w:val="en-GB"/>
                    </w:rPr>
                    <w:t xml:space="preserve">Recloser hydraulic control </w:t>
                  </w:r>
                  <w:r w:rsidRPr="007175B7">
                    <w:rPr>
                      <w:lang w:val="en-GB"/>
                    </w:rPr>
                    <w:t xml:space="preserve">is an intregral part of single-phase reclosers. A trip coil in series with the line is used to sense overcurrent and trip open the recloser contacts. </w:t>
                  </w:r>
                  <w:r w:rsidRPr="007175B7">
                    <w:t>The contacts close after a preset interval.</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Regulator control.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Voltage provided by </w:t>
                  </w:r>
                  <w:r w:rsidRPr="007175B7">
                    <w:rPr>
                      <w:i/>
                      <w:iCs/>
                      <w:lang w:val="en-GB"/>
                    </w:rPr>
                    <w:t xml:space="preserve">regulators </w:t>
                  </w:r>
                  <w:r w:rsidRPr="007175B7">
                    <w:rPr>
                      <w:lang w:val="en-GB"/>
                    </w:rPr>
                    <w: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t>
                  </w:r>
                  <w:r w:rsidRPr="007175B7">
                    <w:t>Most feeder regulators have the 32-step design.</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relayControl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Relay control.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Protective relay systems</w:t>
                  </w:r>
                  <w:r w:rsidRPr="007175B7">
                    <w:rPr>
                      <w:lang w:val="en-GB"/>
                    </w:rPr>
                    <w: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Sectionalizer electronic control.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Sectionalizers </w:t>
                  </w:r>
                  <w:r w:rsidRPr="007175B7">
                    <w:rPr>
                      <w:lang w:val="en-GB"/>
                    </w:rPr>
                    <w: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Sectionalizer hydraulic control.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Sectionalizer controls</w:t>
                  </w:r>
                  <w:r w:rsidRPr="007175B7">
                    <w:rPr>
                      <w:lang w:val="en-GB"/>
                    </w:rPr>
                    <w: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streetLight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Street light.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street light</w:t>
                  </w:r>
                  <w:r w:rsidRPr="007175B7">
                    <w:rPr>
                      <w:lang w:val="en-GB"/>
                    </w:rPr>
                    <w:t xml:space="preserve"> (or lamppost, street lamp, light standard, or lamp standard) is a raised source of light on the edge of a road, which is turned on or lit at a certain time every night.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subStation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Sub station.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electrical substation</w:t>
                  </w:r>
                  <w:r w:rsidRPr="007175B7">
                    <w:rPr>
                      <w:lang w:val="en-GB"/>
                    </w:rPr>
                    <w: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switch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Switch.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switch </w:t>
                  </w:r>
                  <w:r w:rsidRPr="007175B7">
                    <w:rPr>
                      <w:lang w:val="en-GB"/>
                    </w:rPr>
                    <w: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Transformer.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Transformers</w:t>
                  </w:r>
                  <w:r w:rsidRPr="007175B7">
                    <w:rPr>
                      <w:lang w:val="en-GB"/>
                    </w:rPr>
                    <w: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Voltage regulator.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Voltage regulators</w:t>
                  </w:r>
                  <w:r w:rsidRPr="007175B7">
                    <w:rPr>
                      <w:lang w:val="en-GB"/>
                    </w:rPr>
                    <w: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detectionEquipment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pointSettingMachine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monitoringAndControlEquipment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anode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SewerAppurtenanceTypeValue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Sewer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sewer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sewer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Anode.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 xml:space="preserve">anode </w:t>
                  </w:r>
                  <w:r w:rsidRPr="007175B7">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barrel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Barrel.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A </w:t>
                  </w:r>
                  <w:r w:rsidRPr="007175B7">
                    <w:rPr>
                      <w:i/>
                      <w:iCs/>
                      <w:lang w:val="en-GB"/>
                    </w:rPr>
                    <w:t xml:space="preserve">barrel </w:t>
                  </w:r>
                  <w:r w:rsidRPr="007175B7">
                    <w:rPr>
                      <w:lang w:val="en-GB"/>
                    </w:rPr>
                    <w:t xml:space="preserve">is the cylindrical part of a manhole between the cone and the shelf. </w:t>
                  </w:r>
                  <w:r w:rsidRPr="007175B7">
                    <w:t>Barrels are only found in wastewater and stormwater systems.</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barScreen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Bar screen.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bar screen </w:t>
                  </w:r>
                  <w:r w:rsidRPr="007175B7">
                    <w:rPr>
                      <w:lang w:val="en-GB"/>
                    </w:rPr>
                    <w:t>is a set of parallel bars, either vertical or inclined, that is placed in a sewer or other waterway to catch debris. Bar screens are only found in wastewater and stormwater systems.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catchBasin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Catch basin.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catch basin </w:t>
                  </w:r>
                  <w:r w:rsidRPr="007175B7">
                    <w:rPr>
                      <w:lang w:val="en-GB"/>
                    </w:rPr>
                    <w:t>is a chamber or well used with storm or combined sewers to receive runoff into the collection system. Catch basins are used as a means of removing debris and solids that could enter thecollection system. Catch basins may also be modeled as curb inlets or stormwater inlets.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cleanOut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Clean out.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cleanout </w:t>
                  </w:r>
                  <w:r w:rsidRPr="007175B7">
                    <w:rPr>
                      <w:lang w:val="en-GB"/>
                    </w:rPr>
                    <w: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dischargeStructure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Discharge structure.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discharge structure </w:t>
                  </w:r>
                  <w:r w:rsidRPr="007175B7">
                    <w:rPr>
                      <w:lang w:val="en-GB"/>
                    </w:rPr>
                    <w:t>is a sewer and stormwater-specific facility where wastewater drainage is discharged from the system. A discharge point may be located at the terminus of an outfall.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Meter.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meter </w:t>
                  </w:r>
                  <w:r w:rsidRPr="007175B7">
                    <w:rPr>
                      <w:lang w:val="en-GB"/>
                    </w:rPr>
                    <w:t>is a facility that is used to measure wastewater volume. Being a facility, a meter plays the role of a junction on the active network.</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Pump.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pump </w:t>
                  </w:r>
                  <w:r w:rsidRPr="007175B7">
                    <w:rPr>
                      <w:lang w:val="en-GB"/>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Regulator.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regulator </w:t>
                  </w:r>
                  <w:r w:rsidRPr="007175B7">
                    <w:rPr>
                      <w:lang w:val="en-GB"/>
                    </w:rPr>
                    <w:t>is a device that is used in combined sewer systems to control or regulate the diversion flow.</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SCADA sensor.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SCADA sensor </w:t>
                  </w:r>
                  <w:r w:rsidRPr="007175B7">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Thrust protection.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thrust protection </w:t>
                  </w:r>
                  <w:r w:rsidRPr="007175B7">
                    <w:rPr>
                      <w:lang w:val="en-GB"/>
                    </w:rPr>
                    <w: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tideGate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Tide gate.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tide gate </w:t>
                  </w:r>
                  <w:r w:rsidRPr="007175B7">
                    <w:rPr>
                      <w:lang w:val="en-GB"/>
                    </w:rPr>
                    <w: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other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connection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specificStructure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mechanicAndElectromechanicEquipment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rainwaterCollector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watertankOrChamber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SewerPipe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Sewer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sewer pipe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sewer pipe used to convey wastewater (sewer) from one location to another.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Pipe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sewer water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SewerWaterTypeValue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Type of sewer water.</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SewerWaterTypeValue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Sewer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sewer water type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sewer water types.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combined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Combined wastewater.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combined wastewater </w:t>
                  </w:r>
                  <w:r w:rsidRPr="007175B7">
                    <w:rPr>
                      <w:lang w:val="en-GB"/>
                    </w:rPr>
                    <w:t>sewer is a type of sewer system that collects sanitary sewage and stormwater runoff in a single pipe system.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reclaimed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Reclaimed 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Reclaimed water</w:t>
                  </w:r>
                  <w:r w:rsidRPr="007175B7">
                    <w:rPr>
                      <w:lang w:val="en-GB"/>
                    </w:rPr>
                    <w:t>, sometimes called recycled water, is former wastewater (sewage) that has been treated to remove solids and certain impurities, and then used in sustainable landscaping irrigation or to recharge groundwater aquifers.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sanitary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Sanitary wastewater.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Sanitary sewers</w:t>
                  </w:r>
                  <w:r w:rsidRPr="007175B7">
                    <w:rPr>
                      <w:lang w:val="en-GB"/>
                    </w:rPr>
                    <w:t xml:space="preserve"> remove waste products from peoples' home and send them underground to a treatment plant.</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storm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Storm runoff wastewater.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i/>
                      <w:iCs/>
                      <w:lang w:val="en-GB"/>
                    </w:rPr>
                    <w:t xml:space="preserve">Storm wastewater </w:t>
                  </w:r>
                  <w:r w:rsidRPr="007175B7">
                    <w:rPr>
                      <w:lang w:val="en-GB"/>
                    </w:rPr>
                    <w:t xml:space="preserve">drains gather rain and storm runoff and direct them to wetlands and lakes. </w:t>
                  </w:r>
                  <w:r w:rsidRPr="007175B7">
                    <w:t>Ditches and curb line grates are storm drains.</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OilGasChemicalsAppurtenanceTypeValue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Oil-Gas-Chemicals Network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oil, gas and chemicals appurtenance type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oil, gas, chemicals appurtenances.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pump</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gasStation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compression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terminal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deliveryPoint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frontier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marker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beacon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ThermalPipe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Thermal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thermal pipe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pipe used to disseminate heating or cooling from one location to another.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Pipe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thermal product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ThermalProductTypeValue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type of thermal product that is conveyed through the thermal pipe.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TelecommunicationsCable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Telecommunications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telecommunications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utility link or link sequence used to convey data signals (PSTN, radio or computer) from one location to another.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Cable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telecommunications cable material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TelecommunicationsCableMaterialTypeValue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Type of cable material.</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TelecommunicationsCableMaterialTypeValue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Telecommunications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telecommunications cable material type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telecommunications cable materials.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coaxial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Coaxial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coaxial cable</w:t>
                  </w:r>
                  <w:r w:rsidRPr="007175B7">
                    <w:rPr>
                      <w:lang w:val="en-GB"/>
                    </w:rPr>
                    <w:t>, or coax, is an electrical cable with an inner conductor surrounded by a flexible, tubular insulating layer, surrounded by a tubular conducting shield.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Fibre-optic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fiber optic cable</w:t>
                  </w:r>
                  <w:r w:rsidRPr="007175B7">
                    <w:rPr>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Twisted pair (copper)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copper cable</w:t>
                  </w:r>
                  <w:r w:rsidRPr="007175B7">
                    <w:rPr>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Other.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TelecommunicationsAppurtenanceTypeValue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Telecommunications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telecommunications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telecommunication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antenna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Antenna.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 xml:space="preserve">antenna </w:t>
                  </w:r>
                  <w:r w:rsidRPr="007175B7">
                    <w:rPr>
                      <w:lang w:val="en-GB"/>
                    </w:rPr>
                    <w:t>(or aerial) is a transducer that transmits or receives electromagnetic waves. In other words, antennas convert electromagnetic radiation into electric current, or vice versa.</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Copper (twisted-pair) maintenance loop.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maintenance loop</w:t>
                  </w:r>
                  <w:r w:rsidRPr="007175B7">
                    <w:rPr>
                      <w:lang w:val="en-GB"/>
                    </w:rPr>
                    <w:t xml:space="preserve"> is a coil of slack copper cable that is used to support future joining or other maintenance activities.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Copper repeater.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copper repeater </w:t>
                  </w:r>
                  <w:r w:rsidRPr="007175B7">
                    <w:rPr>
                      <w:lang w:val="en-GB"/>
                    </w:rPr>
                    <w:t>is copper line conditioning equipment that amplifies the analog or digital input signal.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Digital cross connect (DXC).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digital cross connect</w:t>
                  </w:r>
                  <w:r w:rsidRPr="007175B7">
                    <w:rPr>
                      <w:lang w:val="en-GB"/>
                    </w:rPr>
                    <w:t xml:space="preserve"> is a patch panel for copper cables that are used to provide digital service.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Digital loop carrier (DLC).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digital loop carrier</w:t>
                  </w:r>
                  <w:r w:rsidRPr="007175B7">
                    <w:rPr>
                      <w:lang w:val="en-GB"/>
                    </w:rPr>
                    <w:t xml:space="preserve"> is a device that multiplexes an optical signal in to multiple lower level digital signals.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exchange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Exchange (switch).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exchange</w:t>
                  </w:r>
                  <w:r w:rsidRPr="007175B7">
                    <w:rPr>
                      <w:lang w:val="en-GB"/>
                    </w:rPr>
                    <w:t xml:space="preserve"> (central office) is the physical building used to house the inside plant equipment (distribution frames, lasers, switches etc).</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Fiber interconnect (FIC).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fiber interconnect </w:t>
                  </w:r>
                  <w:r w:rsidRPr="007175B7">
                    <w:rPr>
                      <w:lang w:val="en-GB"/>
                    </w:rPr>
                    <w:t>terminates individual fibers or establishes a connection between two or more fiber cables. Fibers in cables are connected to signal ports in the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Joint closure (copper of fiber).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A protective</w:t>
                  </w:r>
                  <w:r w:rsidRPr="007175B7">
                    <w:rPr>
                      <w:i/>
                      <w:iCs/>
                      <w:lang w:val="en-GB"/>
                    </w:rPr>
                    <w:t xml:space="preserve"> joint closure</w:t>
                  </w:r>
                  <w:r w:rsidRPr="007175B7">
                    <w:rPr>
                      <w:lang w:val="en-GB"/>
                    </w:rPr>
                    <w:t xml:space="preserve"> for either copper or fiber-optic cable joints. A cable joint consists of spliced conductors and a closure.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loadCoil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Load coil.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load coil</w:t>
                  </w:r>
                  <w:r w:rsidRPr="007175B7">
                    <w:rPr>
                      <w:lang w:val="en-GB"/>
                    </w:rPr>
                    <w:t xml:space="preserve"> 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Main distribution frame (MDF).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main distribution frame</w:t>
                  </w:r>
                  <w:r w:rsidRPr="007175B7">
                    <w:rPr>
                      <w:lang w:val="en-GB"/>
                    </w:rPr>
                    <w:t xml:space="preserve"> 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Multiplexer (MUX).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multiplexer</w:t>
                  </w:r>
                  <w:r w:rsidRPr="007175B7">
                    <w:rPr>
                      <w:lang w:val="en-GB"/>
                    </w:rPr>
                    <w:t xml:space="preserve"> is a device that combines multiple inputs into an aggregate signal to be transported via a single transmission channel.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Optical maintenance loop.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optical maintenance loop</w:t>
                  </w:r>
                  <w:r w:rsidRPr="007175B7">
                    <w:rPr>
                      <w:lang w:val="en-GB"/>
                    </w:rPr>
                    <w:t xml:space="preserve"> is a coil of slack fiber cable that is used to support future splicing or other maintenance activities.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Optical repeater.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 xml:space="preserve">optical repeater </w:t>
                  </w:r>
                  <w:r w:rsidRPr="007175B7">
                    <w:rPr>
                      <w:lang w:val="en-GB"/>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patchPanel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Patch panel.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patch panel</w:t>
                  </w:r>
                  <w:r w:rsidRPr="007175B7">
                    <w:rPr>
                      <w:lang w:val="en-GB"/>
                    </w:rPr>
                    <w:t xml:space="preserve"> is device where connections are made between incoming and outgoing fibers.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spliceClosure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Splice closure.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splice closure </w:t>
                  </w:r>
                  <w:r w:rsidRPr="007175B7">
                    <w:rPr>
                      <w:lang w:val="en-GB"/>
                    </w:rPr>
                    <w: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splitter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Splitter.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splitter </w:t>
                  </w:r>
                  <w:r w:rsidRPr="007175B7">
                    <w:rPr>
                      <w:lang w:val="en-GB"/>
                    </w:rPr>
                    <w:t>is a transmission coupling device for separately sampling (through a known coupling loss) either the forward (incident) or the backward (reflected) wave in a transmission line.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terminal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Terminal.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Terminals </w:t>
                  </w:r>
                  <w:r w:rsidRPr="007175B7">
                    <w:rPr>
                      <w:lang w:val="en-GB"/>
                    </w:rPr>
                    <w: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termination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Termination.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Terminations </w:t>
                  </w:r>
                  <w:r w:rsidRPr="007175B7">
                    <w:rPr>
                      <w:lang w:val="en-GB"/>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noticeBoard</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WaterAppurtenanceTypeValue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Water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water appurtenance type </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water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Anode.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 xml:space="preserve">anode </w:t>
                  </w:r>
                  <w:r w:rsidRPr="007175B7">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clearWell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Clear well.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clear well </w:t>
                  </w:r>
                  <w:r w:rsidRPr="007175B7">
                    <w:rPr>
                      <w:lang w:val="en-GB"/>
                    </w:rPr>
                    <w: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Control valve.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Control valves </w:t>
                  </w:r>
                  <w:r w:rsidRPr="007175B7">
                    <w:rPr>
                      <w:lang w:val="en-GB"/>
                    </w:rPr>
                    <w:t>represent set of valves that operate in special ways. There are three fundamental types of control valves: backflow control, air control, and altitude.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fitting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Fitting.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fitting </w:t>
                  </w:r>
                  <w:r w:rsidRPr="007175B7">
                    <w:rPr>
                      <w:lang w:val="en-GB"/>
                    </w:rPr>
                    <w:t>represents the facility found at the joint between two lines where a transition of some sort must occur. The basic connecting devices between pipes; fittings are rarely used to control the flow of water through the network.</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hydrant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Hydrant.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hydrant </w:t>
                  </w:r>
                  <w:r w:rsidRPr="007175B7">
                    <w:rPr>
                      <w:lang w:val="en-GB"/>
                    </w:rPr>
                    <w:t>enables fire fighters to attach fire hoses to the distribution network. Hydrants also have secondary uses that include flushing main lines and laterals, filling tank trucks, and providing a temporary water source for construction jobs.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junction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Junction.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junction </w:t>
                  </w:r>
                  <w:r w:rsidRPr="007175B7">
                    <w:rPr>
                      <w:lang w:val="en-GB"/>
                    </w:rPr>
                    <w:t>is a water network node where two or more pipes combine, or a point where water consumption is allocated and defined as demand.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Lateral point.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lateral point </w:t>
                  </w:r>
                  <w:r w:rsidRPr="007175B7">
                    <w:rPr>
                      <w:lang w:val="en-GB"/>
                    </w:rPr>
                    <w:t>represents the location of the connection between the customer and the distribution system.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Meter.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meter </w:t>
                  </w:r>
                  <w:r w:rsidRPr="007175B7">
                    <w:rPr>
                      <w:lang w:val="en-GB"/>
                    </w:rPr>
                    <w:t>is a facility that is used to measure water consumption (volume). Being a facility, a meter plays the role of a junction on the active network. NOTE Meters are also much like hydrants as they also have an associated warehouse object, namely, a WarehouseMeter.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Pump.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pump </w:t>
                  </w:r>
                  <w:r w:rsidRPr="007175B7">
                    <w:rPr>
                      <w:lang w:val="en-GB"/>
                    </w:rPr>
                    <w:t>is a piece of equipment that moves, compresses, or alters the pressure of a fluid, such as water or air, being conveyed through a natural or artificial channel. NOTE Pump types include AxialFlow, Centrifugal, Jet, Reciprocating, Rotary, Screw, and Turbine.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pumpStation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Pump station.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pump station </w:t>
                  </w:r>
                  <w:r w:rsidRPr="007175B7">
                    <w:rPr>
                      <w:lang w:val="en-GB"/>
                    </w:rPr>
                    <w:t>is a facility for pumping water on the network to transport to another part of the network (lift pump).</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Sampling station.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sampling station </w:t>
                  </w:r>
                  <w:r w:rsidRPr="007175B7">
                    <w:rPr>
                      <w:lang w:val="en-GB"/>
                    </w:rPr>
                    <w:t>is a facility that is used for collecting water samples. Sampling stations may be dedicated sampling devices, or they may be other devices of the system where a sample may be obtained.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SCADA sensor.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SCADA sensor </w:t>
                  </w:r>
                  <w:r w:rsidRPr="007175B7">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storageBasin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Storage basin.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storage basin</w:t>
                  </w:r>
                  <w:r w:rsidRPr="007175B7">
                    <w:rPr>
                      <w:lang w:val="en-GB"/>
                    </w:rPr>
                    <w:t xml:space="preserve"> represents artificially enclosed area of a river or harbor designed so that the water level remains unaffected by tidal changes.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Enclosed storage facility. </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Surge relief tank.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surge relief tank </w:t>
                  </w:r>
                  <w:r w:rsidRPr="007175B7">
                    <w:rPr>
                      <w:lang w:val="en-GB"/>
                    </w:rPr>
                    <w:t>is a piece of equipment used to absorb pressure increases in the water system. Surge relief tanks provide a buffer against throttling within the system by accepting water into a tank through a pressure valve.</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systemValve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System valve.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A </w:t>
                  </w:r>
                  <w:r w:rsidRPr="007175B7">
                    <w:rPr>
                      <w:i/>
                      <w:iCs/>
                      <w:lang w:val="en-GB"/>
                    </w:rPr>
                    <w:t xml:space="preserve">system valve </w:t>
                  </w:r>
                  <w:r w:rsidRPr="007175B7">
                    <w:rPr>
                      <w:lang w:val="en-GB"/>
                    </w:rPr>
                    <w: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t>
                  </w:r>
                  <w:r w:rsidRPr="007175B7">
                    <w:t>These specific types may be classified as isolation valves.</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Thrust protection.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thrust protection </w:t>
                  </w:r>
                  <w:r w:rsidRPr="007175B7">
                    <w:rPr>
                      <w:lang w:val="en-GB"/>
                    </w:rPr>
                    <w: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treatmentPlant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Treatment plant.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Production well.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pressureRelieveValve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airRelieveValve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checkValve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waterExhaustPoint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waterServicePoint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fountain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pressureController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vent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recoilCheckValve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waterDischargePoint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WaterTypeValue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Water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water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water types.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potable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Potable 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Potable water</w:t>
                  </w:r>
                  <w:r w:rsidRPr="007175B7">
                    <w:rPr>
                      <w:lang w:val="en-GB"/>
                    </w:rPr>
                    <w:t xml:space="preserve"> or drinking water is water of sufficiently high quality that can be consumed or used without risk of immediate or long term harm.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raw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Raw 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Raw water </w:t>
                  </w:r>
                  <w:r w:rsidRPr="007175B7">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Salt 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Salt water</w:t>
                  </w:r>
                  <w:r w:rsidRPr="007175B7">
                    <w:rPr>
                      <w:lang w:val="en-GB"/>
                    </w:rPr>
                    <w:t xml:space="preserve"> or saline water is a general term for water that contains a significant concentration of dissolved salts (NaCl).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treated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Treated water.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Treated water</w:t>
                  </w:r>
                  <w:r w:rsidRPr="007175B7">
                    <w:rPr>
                      <w:lang w:val="en-GB"/>
                    </w:rPr>
                    <w:t xml:space="preserve"> is the water that went throgh treatment proces.Treatment processes are the ones commonly used in water purification plants.</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lastRenderedPageBreak/>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ThermalAppurtenanceTypeValue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Thermal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thermal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thermal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WaterPipe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Water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water pipe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water pipe used to convey water from one location to another.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Pipe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water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WaterTypeValue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Type of water.</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CadastralParcel</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CadastralParcels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Areas defined by cadastral registers or equivalent.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Area</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Registered area value giving quantification of the area projected on the horizontal plane of the cadastral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GM_Object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Geometry of the cadastral parcel.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As much as possible, the geometry should be a single area.</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Text commonly used to display the cadastral parcel identification.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label is usually the last part of the national cadastral reference. NOTE 2 The label can be used for label in portrayal.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at national level, generally the full national code of the cadastral parcel. Must ensure the link to the national cadastral register or equivalent.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national cadastral reference can be used also in further queries in national services.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GM_Point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point within the cadastral parcel.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centroid of the cadastral parcel geometry.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Official date and time the cadastral parcel was/will be legally established.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is the date and time the national cadastral reference can be used in legal acts.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the cadastral parcel legally ceased/will cease to be used.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is the date and time the national cadastral reference can no longer be used in legal acts.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BasicPropertyUnit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basic property unit(s) containing this cadastral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CadastralZoning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cadastral zoning of lowest level containing this cadastral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administrative unit of lowest administrative level containing this cadastral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Value of areaValue shall be given in square meters.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self.areaValue.uom.uomSymbol='m2'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endLifespanVersion shall be later than beginLifespanVersion.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self.endLifespanVersion .isAfter(self.beginLifespanVersion)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Type of geometry shall be GM_Surface or GM_MultiSurface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geometry.oclIsKindOf(GM_Surface) or geometry.oclIsKindOf(GM_MultiSurface)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validTo shall be equal or later than validFrom.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self.validTo .isEqual(self.validFrom) or self.validTo .isAfter(self.validFrom)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CadastralZoningLevelValue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CadastralParcels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Levels of hierarchy of the cadastral zonings.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higher levels in the administrative units theme (province, state) are not repeated in this code list.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urn:x-inspire:def:codeList:INSPIRE:CadastralZoningLevelValue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Uppermost level (largest areas) in the hierarchy of cadastral zonings, equal or equivalent to municipalities.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Second level in the hierarchy of cadastral zonings.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Third level in the hierarchy of cadastral zonings.</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CadastralZoning</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CadastralParcels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Intermediary areas used in order to divide national territory into cadastral parcels.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7175B7">
                    <w:t>EXAMPLE Municipality, section, parish, district, block.</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mean value may come from quality measures on a homogeneous population of cadastral parcels or from an estimation based on the knowledge of the production processes and of their accuracy.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GM_MultiSurface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Geometry of the cadastral zoning.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Text commonly used to display the cadastral zoning identification.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label is usually the last part of the national cadastral zoning reference or that reference itself or the name. NOTE 2 The label can be used for label in portrayal.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CadastralZoningLevelValue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Level of the cadastral zoning in the national cadastral hierarchy.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LocalisedCharacterString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the level of the cadastral zoning in the national cadastral hierarchy, in at least one official language of the European Union.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For Spain, level name might be supplied as "municipio" (in Spanish) and as "municipality" (in English).</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the cadastral zoning.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at national level, generally the full national code of the cadastral zoning.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EXAMPLE 03260000AB (France), 30133 (Austria), APD00F (Netherlands).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Integer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denominator in the scale of the original paper map (if any) to whose extent the cadastral zoning corresponds.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2000 means that original cadastral map was designed at scale 1: 2000.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Official date and time the cadastral zoning was/will be legally established.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GM_Point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point within the cadastral zoning.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centroid of the cadastral parcel geometry.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the cadastral zoning legally ceased/will cease to be used.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CadastralZoning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next upper level cadastral zoning containing this cadastral zoning.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endLifespanVersion shall be later than beginLifespanVersion.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self.endLifespanVersion .isAfter(self.beginLifespanVersion)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Value of estimatedAccuracy shall be given in meters.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self.estimatedAccuracy.uom.uomSymbol='m'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validTo shall be equal or later than validFrom.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self.validTo .isEqual(self.validFrom) or self.validTo .isAfter(self.validFrom)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 lower level cadastral zoning shall be part of an upper level zoning.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self.nationalLevel &lt;&gt; '1stOrder' implies self.level &lt; self.upperLevelUnit.level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lastRenderedPageBreak/>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NameStatusValue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status of a geographical name, that is the information enabling to discern which credit should be given to the name with respect to its standardisation and/or its topicality.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precise definition of the values 'Official', 'Standardised', 'Historical' and 'Other' can only be decided by Member States according to their legislation and practice.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urn:x-inspire:def:codeList:INSPIRE:NameStatusValue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official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Name in current use and officially approved or established by legislation.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Name in current use and accepted or recommended by a body assigned advisory function and/or power of decision in matters of toponymy.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historical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Historical name not in current use.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Current, but not official, nor approved name.</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GrammaticalNumberValue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grammatical number of a geographical name.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urn:x-inspire:def:codeList:INSPIRE:GrammaticalNumberValue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singular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Singular grammatical number.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Danube (English), Lac du Bourget (French), Praha (Czech), Nederland (Dutch).</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plural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Plural grammatical number.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Alps (English), Pays-Bas (French), Waddeneilanden (Dutch), Cárpatos (Spanish).</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dual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Dual grammatical number.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BasicPropertyUnit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CadastralParcels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at national level, generally the full national code of the basic property unit. Must ensure the link to the national cadastral register or equivalent.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national cadastral reference can be used also in further queries in national services.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Area</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Registered area value giving quantification of the area projected on the horizontal plane of the cadastral parcels composing the basic property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Official date and time the basic property unit was/will be legally established.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is the date and time the national cadastral reference can be used in legal acts.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the basic property unit legally ceased/will cease to be used.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is the date and time the national cadastral reference can no longer be used in legal acts.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administrative unit of lowest administrative level containing this basic property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Value of areaValue shall be given in square meters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self.areaValue.uom.uomSymbol='m2'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endLifespanVersion shall be later than beginLifespanVersion.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self.endLifespanVersion .isAfter(self.beginLifespanVersion)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validTo shall be equal or later than validFrom.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self.validTo .isEqual(self.validFrom) or self.validTo .isAfter(self.validFrom)</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GeographicalName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Proper noun applied to a real world entity.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Language of the name, given as a three letters code, in accordance with either ISO 639-3 or ISO 639-5.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nativeness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NativenessValue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Information enabling to acknowledge if the name is the one that is/was used in the area where the spatial object is situated at the instant when the name is/was in use.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NameStatusValue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Qualitative information enabling to discern which credit should be given to the name with respect to its standardisation and/or its topicality.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Gazetteer, geographical names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PronunciationOfName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correct or standard (standard within the linguistic community concerned) pronunciation of the geographical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SpellingOfName</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proper way of writing the geographical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GrammaticalGenderValue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Class of nouns reflected in the behaviour of associated words.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NOTE the attribute has cardinality [0..1] and is voidable, which means that: </w:t>
                  </w:r>
                </w:p>
                <w:p w:rsidR="00E87BCB" w:rsidRPr="007175B7" w:rsidRDefault="00E87BCB" w:rsidP="00E87BCB">
                  <w:pPr>
                    <w:numPr>
                      <w:ilvl w:val="0"/>
                      <w:numId w:val="33"/>
                    </w:numPr>
                    <w:spacing w:before="100" w:beforeAutospacing="1" w:after="100" w:afterAutospacing="1" w:line="240" w:lineRule="auto"/>
                    <w:jc w:val="left"/>
                    <w:rPr>
                      <w:lang w:val="en-GB"/>
                    </w:rPr>
                  </w:pPr>
                  <w:r w:rsidRPr="007175B7">
                    <w:rPr>
                      <w:lang w:val="en-GB"/>
                    </w:rPr>
                    <w:t>in case the concept of grammatical gender has no sense for a given name (i.e. the attribute is not applicable), the attribute should not be provided.</w:t>
                  </w:r>
                </w:p>
                <w:p w:rsidR="00E87BCB" w:rsidRPr="007175B7" w:rsidRDefault="00E87BCB" w:rsidP="00E87BCB">
                  <w:pPr>
                    <w:numPr>
                      <w:ilvl w:val="0"/>
                      <w:numId w:val="33"/>
                    </w:numPr>
                    <w:spacing w:before="100" w:beforeAutospacing="1" w:after="100" w:afterAutospacing="1" w:line="240" w:lineRule="auto"/>
                    <w:jc w:val="left"/>
                    <w:rPr>
                      <w:lang w:val="en-GB"/>
                    </w:rPr>
                  </w:pPr>
                  <w:r w:rsidRPr="007175B7">
                    <w:rPr>
                      <w:lang w:val="en-GB"/>
                    </w:rPr>
                    <w:t xml:space="preserve">in case the concept of grammatical gender has some sense for the name but is unknown, the attribute should be provided but </w:t>
                  </w:r>
                  <w:r w:rsidRPr="007175B7">
                    <w:rPr>
                      <w:i/>
                      <w:iCs/>
                      <w:lang w:val="en-GB"/>
                    </w:rPr>
                    <w:t>void</w:t>
                  </w:r>
                  <w:r w:rsidRPr="007175B7">
                    <w:rPr>
                      <w:lang w:val="en-GB"/>
                    </w:rPr>
                    <w:t xml:space="preserv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GrammaticalNumberValue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Grammatical category of nouns that expresses count distinctions.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NOTE the attribute has cardinality [0..1] and is voidable, which means that: </w:t>
                  </w:r>
                </w:p>
                <w:p w:rsidR="00E87BCB" w:rsidRPr="007175B7" w:rsidRDefault="00E87BCB" w:rsidP="00E87BCB">
                  <w:pPr>
                    <w:numPr>
                      <w:ilvl w:val="0"/>
                      <w:numId w:val="34"/>
                    </w:numPr>
                    <w:spacing w:before="100" w:beforeAutospacing="1" w:after="100" w:afterAutospacing="1" w:line="240" w:lineRule="auto"/>
                    <w:jc w:val="left"/>
                    <w:rPr>
                      <w:lang w:val="en-GB"/>
                    </w:rPr>
                  </w:pPr>
                  <w:r w:rsidRPr="007175B7">
                    <w:rPr>
                      <w:lang w:val="en-GB"/>
                    </w:rPr>
                    <w:t>in case the concept of grammatical number has no sense for a given name (i.e. the attribute is not applicable), the attribute should not be provided.</w:t>
                  </w:r>
                </w:p>
                <w:p w:rsidR="00E87BCB" w:rsidRPr="007175B7" w:rsidRDefault="00E87BCB" w:rsidP="00E87BCB">
                  <w:pPr>
                    <w:numPr>
                      <w:ilvl w:val="0"/>
                      <w:numId w:val="34"/>
                    </w:numPr>
                    <w:spacing w:before="100" w:beforeAutospacing="1" w:after="100" w:afterAutospacing="1" w:line="240" w:lineRule="auto"/>
                    <w:jc w:val="left"/>
                    <w:rPr>
                      <w:lang w:val="en-GB"/>
                    </w:rPr>
                  </w:pPr>
                  <w:r w:rsidRPr="007175B7">
                    <w:rPr>
                      <w:lang w:val="en-GB"/>
                    </w:rPr>
                    <w:t xml:space="preserve">in case the concept of grammatical number has some sense for the name but is unknown, the attribute should be provided but </w:t>
                  </w:r>
                  <w:r w:rsidRPr="007175B7">
                    <w:rPr>
                      <w:i/>
                      <w:iCs/>
                      <w:lang w:val="en-GB"/>
                    </w:rPr>
                    <w:t>void</w:t>
                  </w:r>
                  <w:r w:rsidRPr="007175B7">
                    <w:rPr>
                      <w:lang w:val="en-GB"/>
                    </w:rPr>
                    <w: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GrammaticalGenderValue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grammatical gender of a geographical name.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rPr>
                      <w:lang w:val="en-GB"/>
                    </w:rPr>
                    <w:t xml:space="preserve">Centrally managed in INSPIRE code list register. </w:t>
                  </w:r>
                  <w:r w:rsidRPr="007175B7">
                    <w:t>URN: urn:x-inspire:def:codeList:INSPIRE:GrammaticalGenderValue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masculine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Masculine grammatical gender.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Sena (Spanish), Schwarzwald (German).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feminine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Feminine grammatical gender.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fr-FR"/>
                    </w:rPr>
                  </w:pPr>
                  <w:r w:rsidRPr="007175B7">
                    <w:rPr>
                      <w:lang w:val="fr-FR"/>
                    </w:rPr>
                    <w:t>EXAMPLES Seine (French), Forêt Noire (French).</w:t>
                  </w:r>
                </w:p>
              </w:tc>
            </w:tr>
          </w:tbl>
          <w:p w:rsidR="00E87BCB" w:rsidRPr="007175B7" w:rsidRDefault="00E87BCB" w:rsidP="00A655BD">
            <w:pPr>
              <w:rPr>
                <w:lang w:val="fr-FR"/>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neuter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Neuter grammatical gender.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EXAMPLES Zwarte Woud (Dutch), Rheinland (German).</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common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'Common' grammatical gender (the merging of 'masculine' and 'feminine').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SpellingOfName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way of writing a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 NOTE Proper spelling means the writing of a name with the correct capitalisation and the correct letters and diacritics present in an accepted standard order.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text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Way the name is written.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Set of graphic symbols (for example an alphabet) employed in writing the name, expressed using the four letters codes defined in ISO 15924, where applicable.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Method used for the names conversion between different scripts.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PronunciationOfName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correct or standard (standard within the linguistic community concerned) pronunciation of a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URI</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correct or standard (standard within the linguistic community concerned) pronunciation of a name, expressed by a link to any sound file.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correct or standard (standard within the linguistic community concerned) pronunciation of a name, expressed in International Phonetic Alphabet (IPA).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At least one of the two attributes pronunciationSoundLink and pronunciationIPA shall not be void.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self.pronounciationIPA -&gt; notEmpty() or self.pronounciationSoundLink -&gt; notEmpty()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NativenessValue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nativeness of a geographical name.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urn:x-inspire:def:codeList:INSPIRE:NativenessValue</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endonym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for a geographical feature in an official or well-established language occurring in that area where the feature is situated.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SOURCE [UNGEGN Glossary 2007].</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exonym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SOURCE [UNGEGN Glossary 2007].</w:t>
                  </w:r>
                </w:p>
              </w:tc>
            </w:tr>
          </w:tbl>
          <w:p w:rsidR="00E87BCB" w:rsidRPr="007175B7" w:rsidRDefault="00E87BCB" w:rsidP="00A655BD"/>
        </w:tc>
      </w:tr>
    </w:tbl>
    <w:p w:rsidR="00E87BCB" w:rsidRDefault="00E87BCB" w:rsidP="00E87BCB">
      <w:pPr>
        <w:pStyle w:val="Kop4"/>
        <w:rPr>
          <w:rFonts w:ascii="Verdana" w:hAnsi="Verdana"/>
          <w:sz w:val="16"/>
          <w:szCs w:val="16"/>
        </w:rPr>
      </w:pPr>
    </w:p>
    <w:p w:rsidR="00E87BCB" w:rsidRPr="007175B7" w:rsidRDefault="00E87BCB" w:rsidP="00E87BCB">
      <w:pPr>
        <w:pStyle w:val="Kop4"/>
      </w:pPr>
      <w:bookmarkStart w:id="9" w:name="_Toc435786011"/>
      <w:r w:rsidRPr="00E87BCB">
        <w:t>Geïmporteerde</w:t>
      </w:r>
      <w:r w:rsidRPr="007175B7">
        <w:t xml:space="preserve"> types (informatief)</w:t>
      </w:r>
      <w:bookmarkEnd w:id="9"/>
    </w:p>
    <w:p w:rsidR="00E87BCB" w:rsidRPr="007175B7" w:rsidRDefault="00E87BCB" w:rsidP="00E87BCB">
      <w:pPr>
        <w:pStyle w:val="Normaalweb"/>
        <w:rPr>
          <w:rFonts w:ascii="Verdana" w:hAnsi="Verdana"/>
          <w:sz w:val="16"/>
          <w:szCs w:val="16"/>
        </w:rPr>
      </w:pPr>
      <w:r w:rsidRPr="007175B7">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E87BCB" w:rsidRPr="007175B7" w:rsidRDefault="00E87BCB" w:rsidP="00E87BCB">
      <w:pPr>
        <w:pStyle w:val="Kop5"/>
        <w:rPr>
          <w:sz w:val="16"/>
          <w:szCs w:val="16"/>
        </w:rPr>
      </w:pPr>
      <w:r w:rsidRPr="007175B7">
        <w:rPr>
          <w:sz w:val="16"/>
          <w:szCs w:val="16"/>
        </w:rPr>
        <w:lastRenderedPageBreak/>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ActivityComplex</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Activity Complex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Network</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Network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network is a collection of network elements.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reason for collecting certain elements in a certain network may vary (e.g. connected elements for the same mode of transport)</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 xml:space="preserve">NetworkElement (abstract) </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Network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Abstract base type representing an element in a network. Every element in a network provides some function that is of interest in the network.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Contact</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Communication channels by which it is possible to gain access to someone or something.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Identifier</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unique object identifier published by the responsible body, which may be used by external applications to reference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lastRenderedPageBreak/>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RelatedParty</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 organisation or a person with a role related to a resource.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A party, typically an individual person, acting as a general point of contact for a resource can be specified without providing any particular role.</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ThematicIdentifier</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to uniquely identify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Function</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Activity Complex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function of something expressed as an activity and optional input and/or output.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PartyRoleValue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Roles of parties related to or responsible for a resource.</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CountryCode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Country code as defined in the Interinstitutional style guide published by the Publications Office of the European Union.</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InputOutputValue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Activity Complex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inputs or outputs.</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EconomicActivityValue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Activity Complex [Include reference to the document that includes the package, e.g. INSPIRE data specification, ISO standard or the GCM]</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economic activities.</w:t>
                  </w:r>
                </w:p>
              </w:tc>
            </w:tr>
          </w:tbl>
          <w:p w:rsidR="00E87BCB" w:rsidRPr="007175B7" w:rsidRDefault="00E87BCB" w:rsidP="00A655BD"/>
        </w:tc>
      </w:tr>
    </w:tbl>
    <w:p w:rsidR="0022612C" w:rsidRPr="00D239F0" w:rsidRDefault="0022612C" w:rsidP="00E87BCB">
      <w:pPr>
        <w:pStyle w:val="Kop5"/>
      </w:pPr>
    </w:p>
    <w:p w:rsidR="0022612C" w:rsidRPr="0022612C" w:rsidRDefault="0022612C" w:rsidP="0022612C">
      <w:pPr>
        <w:pStyle w:val="Inleidingnatitel"/>
        <w:rPr>
          <w:lang w:val="en-GB"/>
        </w:rPr>
        <w:sectPr w:rsidR="0022612C" w:rsidRPr="0022612C" w:rsidSect="00EC1EEF">
          <w:pgSz w:w="11906" w:h="16838" w:code="9"/>
          <w:pgMar w:top="2552" w:right="1622" w:bottom="1531" w:left="1622" w:header="0" w:footer="57" w:gutter="0"/>
          <w:cols w:space="708"/>
          <w:docGrid w:linePitch="360"/>
        </w:sectPr>
      </w:pPr>
    </w:p>
    <w:p w:rsidR="00D421C4" w:rsidRDefault="00D421C4" w:rsidP="00D421C4">
      <w:pPr>
        <w:pStyle w:val="Hoofdstukx"/>
      </w:pPr>
      <w:bookmarkStart w:id="10" w:name="_Toc402785738"/>
    </w:p>
    <w:p w:rsidR="00D421C4" w:rsidRDefault="00D421C4" w:rsidP="00D421C4">
      <w:pPr>
        <w:pStyle w:val="Hoofdstuktitel"/>
      </w:pPr>
      <w:bookmarkStart w:id="11" w:name="_Toc399786906"/>
      <w:bookmarkStart w:id="12" w:name="_Toc435786012"/>
      <w:r>
        <w:t xml:space="preserve">Bijlage 4: Alle </w:t>
      </w:r>
      <w:r w:rsidR="00C2546C">
        <w:t>waardelijsten</w:t>
      </w:r>
      <w:r>
        <w:t xml:space="preserve"> samen</w:t>
      </w:r>
      <w:bookmarkEnd w:id="11"/>
      <w:bookmarkEnd w:id="12"/>
    </w:p>
    <w:p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10"/>
    <w:p w:rsidR="003D31A8" w:rsidRPr="00BB3722" w:rsidRDefault="003D31A8" w:rsidP="00D421C4">
      <w:pPr>
        <w:pStyle w:val="Bijlagen"/>
        <w:numPr>
          <w:ilvl w:val="0"/>
          <w:numId w:val="0"/>
        </w:numPr>
      </w:pPr>
    </w:p>
    <w:sectPr w:rsidR="003D31A8" w:rsidRPr="00BB3722" w:rsidSect="00E87BCB">
      <w:pgSz w:w="11906" w:h="16838" w:code="9"/>
      <w:pgMar w:top="720" w:right="720" w:bottom="720" w:left="720"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E66" w:rsidRDefault="00650E66">
      <w:r>
        <w:separator/>
      </w:r>
    </w:p>
    <w:p w:rsidR="00650E66" w:rsidRDefault="00650E66"/>
  </w:endnote>
  <w:endnote w:type="continuationSeparator" w:id="0">
    <w:p w:rsidR="00650E66" w:rsidRDefault="00650E66">
      <w:r>
        <w:continuationSeparator/>
      </w:r>
    </w:p>
    <w:p w:rsidR="00650E66" w:rsidRDefault="00650E6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A655BD">
      <w:tc>
        <w:tcPr>
          <w:tcW w:w="648" w:type="dxa"/>
        </w:tcPr>
        <w:p w:rsidR="00A655BD" w:rsidRPr="00E2691E" w:rsidRDefault="005E7CAB" w:rsidP="00BB25BB">
          <w:fldSimple w:instr=" PAGE ">
            <w:r w:rsidR="00A655BD">
              <w:rPr>
                <w:noProof/>
              </w:rPr>
              <w:t>2</w:t>
            </w:r>
          </w:fldSimple>
        </w:p>
      </w:tc>
      <w:tc>
        <w:tcPr>
          <w:tcW w:w="8820" w:type="dxa"/>
        </w:tcPr>
        <w:p w:rsidR="00A655BD" w:rsidRDefault="00A655BD" w:rsidP="00BB25BB">
          <w:r w:rsidRPr="00E2691E">
            <w:t xml:space="preserve">Geonovum – </w:t>
          </w:r>
          <w:r w:rsidR="005E7CAB">
            <w:fldChar w:fldCharType="begin"/>
          </w:r>
          <w:r>
            <w:instrText xml:space="preserve"> REF Rapporttitel \h </w:instrText>
          </w:r>
          <w:r w:rsidR="005E7CAB">
            <w:fldChar w:fldCharType="separate"/>
          </w:r>
          <w:r>
            <w:rPr>
              <w:b/>
              <w:bCs/>
            </w:rPr>
            <w:t>Fout! Verwijzingsbron niet gevonden.</w:t>
          </w:r>
          <w:r w:rsidR="005E7CAB">
            <w:fldChar w:fldCharType="end"/>
          </w:r>
        </w:p>
      </w:tc>
    </w:tr>
  </w:tbl>
  <w:p w:rsidR="00A655BD" w:rsidRDefault="00A655BD" w:rsidP="00064FFB"/>
  <w:p w:rsidR="00A655BD" w:rsidRDefault="00A655BD" w:rsidP="00064FFB"/>
  <w:p w:rsidR="00A655BD" w:rsidRDefault="00A655B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p w:rsidR="00A655BD" w:rsidRDefault="00A655B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A655BD">
      <w:trPr>
        <w:trHeight w:val="182"/>
      </w:trPr>
      <w:tc>
        <w:tcPr>
          <w:tcW w:w="540" w:type="dxa"/>
        </w:tcPr>
        <w:p w:rsidR="00A655BD" w:rsidRPr="007008A1" w:rsidRDefault="005E7CAB" w:rsidP="00796267">
          <w:pPr>
            <w:rPr>
              <w:sz w:val="14"/>
              <w:szCs w:val="14"/>
            </w:rPr>
          </w:pPr>
          <w:r w:rsidRPr="007008A1">
            <w:rPr>
              <w:sz w:val="14"/>
              <w:szCs w:val="14"/>
            </w:rPr>
            <w:fldChar w:fldCharType="begin"/>
          </w:r>
          <w:r w:rsidR="00A655BD" w:rsidRPr="007008A1">
            <w:rPr>
              <w:sz w:val="14"/>
              <w:szCs w:val="14"/>
            </w:rPr>
            <w:instrText xml:space="preserve"> PAGE </w:instrText>
          </w:r>
          <w:r w:rsidRPr="007008A1">
            <w:rPr>
              <w:sz w:val="14"/>
              <w:szCs w:val="14"/>
            </w:rPr>
            <w:fldChar w:fldCharType="separate"/>
          </w:r>
          <w:r w:rsidR="00D15212">
            <w:rPr>
              <w:noProof/>
              <w:sz w:val="14"/>
              <w:szCs w:val="14"/>
            </w:rPr>
            <w:t>117</w:t>
          </w:r>
          <w:r w:rsidRPr="007008A1">
            <w:rPr>
              <w:sz w:val="14"/>
              <w:szCs w:val="14"/>
            </w:rPr>
            <w:fldChar w:fldCharType="end"/>
          </w:r>
        </w:p>
      </w:tc>
      <w:tc>
        <w:tcPr>
          <w:tcW w:w="8835" w:type="dxa"/>
        </w:tcPr>
        <w:p w:rsidR="00A655BD" w:rsidRPr="007008A1" w:rsidRDefault="00A655BD" w:rsidP="006B763D">
          <w:pPr>
            <w:rPr>
              <w:sz w:val="14"/>
              <w:szCs w:val="14"/>
            </w:rPr>
          </w:pPr>
          <w:r>
            <w:rPr>
              <w:sz w:val="14"/>
              <w:szCs w:val="14"/>
            </w:rPr>
            <w:t>Rapport IMKL2015 - Objectcatalogus</w:t>
          </w:r>
        </w:p>
      </w:tc>
    </w:tr>
  </w:tbl>
  <w:p w:rsidR="00A655BD" w:rsidRDefault="00A655BD"/>
  <w:p w:rsidR="00A655BD" w:rsidRDefault="00A655B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E66" w:rsidRDefault="00650E66">
      <w:r>
        <w:separator/>
      </w:r>
    </w:p>
    <w:p w:rsidR="00650E66" w:rsidRDefault="00650E66"/>
  </w:footnote>
  <w:footnote w:type="continuationSeparator" w:id="0">
    <w:p w:rsidR="00650E66" w:rsidRDefault="00650E66">
      <w:r>
        <w:continuationSeparator/>
      </w:r>
    </w:p>
    <w:p w:rsidR="00650E66" w:rsidRDefault="00650E6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p>
  <w:p w:rsidR="00A655BD" w:rsidRDefault="00A655BD">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5730" cy="466090"/>
                  </a:xfrm>
                  <a:prstGeom prst="rect">
                    <a:avLst/>
                  </a:prstGeom>
                  <a:noFill/>
                  <a:ln>
                    <a:noFill/>
                  </a:ln>
                </pic:spPr>
              </pic:pic>
            </a:graphicData>
          </a:graphic>
        </wp:anchor>
      </w:drawing>
    </w:r>
  </w:p>
  <w:p w:rsidR="00A655BD" w:rsidRDefault="00A655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6">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9">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29"/>
  </w:num>
  <w:num w:numId="6">
    <w:abstractNumId w:val="22"/>
  </w:num>
  <w:num w:numId="7">
    <w:abstractNumId w:val="18"/>
  </w:num>
  <w:num w:numId="8">
    <w:abstractNumId w:val="20"/>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14"/>
  </w:num>
  <w:num w:numId="17">
    <w:abstractNumId w:val="17"/>
  </w:num>
  <w:num w:numId="18">
    <w:abstractNumId w:val="27"/>
  </w:num>
  <w:num w:numId="19">
    <w:abstractNumId w:val="25"/>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24"/>
  </w:num>
  <w:num w:numId="24">
    <w:abstractNumId w:val="19"/>
  </w:num>
  <w:num w:numId="25">
    <w:abstractNumId w:val="26"/>
  </w:num>
  <w:num w:numId="26">
    <w:abstractNumId w:val="31"/>
  </w:num>
  <w:num w:numId="27">
    <w:abstractNumId w:val="15"/>
  </w:num>
  <w:num w:numId="28">
    <w:abstractNumId w:val="21"/>
  </w:num>
  <w:num w:numId="29">
    <w:abstractNumId w:val="23"/>
  </w:num>
  <w:num w:numId="30">
    <w:abstractNumId w:val="16"/>
  </w:num>
  <w:num w:numId="31">
    <w:abstractNumId w:val="12"/>
  </w:num>
  <w:num w:numId="32">
    <w:abstractNumId w:val="10"/>
  </w:num>
  <w:num w:numId="33">
    <w:abstractNumId w:val="30"/>
  </w:num>
  <w:num w:numId="34">
    <w:abstractNumId w:val="1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40962"/>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A75C8"/>
    <w:rsid w:val="002D6BA4"/>
    <w:rsid w:val="002E322F"/>
    <w:rsid w:val="002E546F"/>
    <w:rsid w:val="002E75E7"/>
    <w:rsid w:val="00302A9B"/>
    <w:rsid w:val="00302FC6"/>
    <w:rsid w:val="003119AB"/>
    <w:rsid w:val="00313B47"/>
    <w:rsid w:val="00323307"/>
    <w:rsid w:val="003276EB"/>
    <w:rsid w:val="00331F3D"/>
    <w:rsid w:val="00335164"/>
    <w:rsid w:val="003356E1"/>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5603"/>
    <w:rsid w:val="00601F69"/>
    <w:rsid w:val="00610F19"/>
    <w:rsid w:val="00613BB2"/>
    <w:rsid w:val="006222DE"/>
    <w:rsid w:val="00622867"/>
    <w:rsid w:val="006372A4"/>
    <w:rsid w:val="0064551A"/>
    <w:rsid w:val="0064682F"/>
    <w:rsid w:val="00650E66"/>
    <w:rsid w:val="00672722"/>
    <w:rsid w:val="006869A3"/>
    <w:rsid w:val="00694F31"/>
    <w:rsid w:val="0069792C"/>
    <w:rsid w:val="006A058D"/>
    <w:rsid w:val="006A1F5A"/>
    <w:rsid w:val="006B466C"/>
    <w:rsid w:val="006B763D"/>
    <w:rsid w:val="006B7DF9"/>
    <w:rsid w:val="006D2B7D"/>
    <w:rsid w:val="006D57E3"/>
    <w:rsid w:val="006D66D2"/>
    <w:rsid w:val="006E5234"/>
    <w:rsid w:val="006F4CEB"/>
    <w:rsid w:val="006F4F6F"/>
    <w:rsid w:val="006F6311"/>
    <w:rsid w:val="006F6A42"/>
    <w:rsid w:val="007008A1"/>
    <w:rsid w:val="007040F8"/>
    <w:rsid w:val="00705CDD"/>
    <w:rsid w:val="00705FE7"/>
    <w:rsid w:val="007175D0"/>
    <w:rsid w:val="00725573"/>
    <w:rsid w:val="007354C6"/>
    <w:rsid w:val="0075124B"/>
    <w:rsid w:val="0075577F"/>
    <w:rsid w:val="00756728"/>
    <w:rsid w:val="0075753A"/>
    <w:rsid w:val="0076547C"/>
    <w:rsid w:val="00765642"/>
    <w:rsid w:val="0077510B"/>
    <w:rsid w:val="00780D4B"/>
    <w:rsid w:val="007910BD"/>
    <w:rsid w:val="007911E4"/>
    <w:rsid w:val="00792DB7"/>
    <w:rsid w:val="00796267"/>
    <w:rsid w:val="00797440"/>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5B40"/>
    <w:rsid w:val="0092303D"/>
    <w:rsid w:val="00923CCF"/>
    <w:rsid w:val="009264C6"/>
    <w:rsid w:val="0093196F"/>
    <w:rsid w:val="00934D40"/>
    <w:rsid w:val="00942CD1"/>
    <w:rsid w:val="00945ADC"/>
    <w:rsid w:val="00957990"/>
    <w:rsid w:val="00963092"/>
    <w:rsid w:val="00981AEF"/>
    <w:rsid w:val="0098270C"/>
    <w:rsid w:val="00992EE1"/>
    <w:rsid w:val="009A4291"/>
    <w:rsid w:val="009B16AC"/>
    <w:rsid w:val="009B321F"/>
    <w:rsid w:val="009D5C22"/>
    <w:rsid w:val="009E4694"/>
    <w:rsid w:val="009E6B28"/>
    <w:rsid w:val="009F7CB4"/>
    <w:rsid w:val="00A006BE"/>
    <w:rsid w:val="00A064E5"/>
    <w:rsid w:val="00A129EC"/>
    <w:rsid w:val="00A17906"/>
    <w:rsid w:val="00A20F45"/>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07D3F"/>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5212"/>
    <w:rsid w:val="00D2625A"/>
    <w:rsid w:val="00D2648E"/>
    <w:rsid w:val="00D34018"/>
    <w:rsid w:val="00D421C4"/>
    <w:rsid w:val="00D761FB"/>
    <w:rsid w:val="00D765B8"/>
    <w:rsid w:val="00D84E24"/>
    <w:rsid w:val="00D86EA6"/>
    <w:rsid w:val="00D87732"/>
    <w:rsid w:val="00D92DEC"/>
    <w:rsid w:val="00D96C9D"/>
    <w:rsid w:val="00DA6E1B"/>
    <w:rsid w:val="00DA7658"/>
    <w:rsid w:val="00DB13B4"/>
    <w:rsid w:val="00DE74CE"/>
    <w:rsid w:val="00DF54C7"/>
    <w:rsid w:val="00E05456"/>
    <w:rsid w:val="00E05B46"/>
    <w:rsid w:val="00E2691E"/>
    <w:rsid w:val="00E33E00"/>
    <w:rsid w:val="00E43079"/>
    <w:rsid w:val="00E55DD6"/>
    <w:rsid w:val="00E600E4"/>
    <w:rsid w:val="00E65C9E"/>
    <w:rsid w:val="00E7098A"/>
    <w:rsid w:val="00E71D06"/>
    <w:rsid w:val="00E7200A"/>
    <w:rsid w:val="00E73450"/>
    <w:rsid w:val="00E84199"/>
    <w:rsid w:val="00E87BCB"/>
    <w:rsid w:val="00E96A1C"/>
    <w:rsid w:val="00EA3317"/>
    <w:rsid w:val="00EB0055"/>
    <w:rsid w:val="00EB29AB"/>
    <w:rsid w:val="00EB3BA5"/>
    <w:rsid w:val="00EC1EEF"/>
    <w:rsid w:val="00EC4A6C"/>
    <w:rsid w:val="00ED7A21"/>
    <w:rsid w:val="00EF71CC"/>
    <w:rsid w:val="00F04ECD"/>
    <w:rsid w:val="00F10ACF"/>
    <w:rsid w:val="00F12AE2"/>
    <w:rsid w:val="00F23E21"/>
    <w:rsid w:val="00F36E9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3BD8F-269C-4F25-9402-A421CBFCD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2</TotalTime>
  <Pages>118</Pages>
  <Words>34344</Words>
  <Characters>188898</Characters>
  <Application>Microsoft Office Word</Application>
  <DocSecurity>0</DocSecurity>
  <Lines>1574</Lines>
  <Paragraphs>445</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222797</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4</cp:revision>
  <cp:lastPrinted>2008-03-25T12:56:00Z</cp:lastPrinted>
  <dcterms:created xsi:type="dcterms:W3CDTF">2015-11-20T11:29:00Z</dcterms:created>
  <dcterms:modified xsi:type="dcterms:W3CDTF">2015-11-20T11:31:00Z</dcterms:modified>
</cp:coreProperties>
</file>