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5067B2D9" w:rsidR="0094589F" w:rsidRPr="000D64A7" w:rsidRDefault="00B32B48">
      <w:pPr>
        <w:rPr>
          <w:color w:val="00B050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0D64A7">
        <w:rPr>
          <w:b/>
          <w:u w:val="single"/>
        </w:rPr>
        <w:t xml:space="preserve">gerechtelijke uitspraak </w:t>
      </w:r>
      <w:r w:rsidR="000D64A7" w:rsidRPr="000D64A7">
        <w:rPr>
          <w:color w:val="00B050"/>
        </w:rPr>
        <w:t>&lt;</w:t>
      </w:r>
      <w:proofErr w:type="spellStart"/>
      <w:r w:rsidR="000D64A7" w:rsidRPr="000D64A7">
        <w:rPr>
          <w:color w:val="00B050"/>
        </w:rPr>
        <w:t>imro:typePlan</w:t>
      </w:r>
      <w:proofErr w:type="spellEnd"/>
      <w:r w:rsidR="000D64A7" w:rsidRPr="000D64A7">
        <w:rPr>
          <w:color w:val="00B050"/>
        </w:rPr>
        <w:t>&gt;gerechtelijke uitspraak&lt;/</w:t>
      </w:r>
      <w:proofErr w:type="spellStart"/>
      <w:r w:rsidR="000D64A7" w:rsidRPr="000D64A7">
        <w:rPr>
          <w:color w:val="00B050"/>
        </w:rPr>
        <w:t>imro:typePlan</w:t>
      </w:r>
      <w:proofErr w:type="spellEnd"/>
      <w:r w:rsidR="000D64A7" w:rsidRPr="000D64A7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3694E2CC" w:rsidR="00B32B48" w:rsidRPr="00B32B48" w:rsidRDefault="0094589F">
      <w:pPr>
        <w:rPr>
          <w:b/>
        </w:rPr>
      </w:pPr>
      <w:r>
        <w:rPr>
          <w:b/>
        </w:rPr>
        <w:t>Geen aanpassingen in 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2AF4DCE9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0D64A7" w:rsidRPr="000D64A7">
        <w:t>NL.IMRO.0957.BP00000293-GU01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1D659928" w:rsidR="00C716F3" w:rsidRDefault="00C716F3" w:rsidP="00C716F3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0D64A7" w:rsidRPr="000D64A7">
        <w:t>NL.IMRO.0957.BP00000293-GU01</w:t>
      </w:r>
    </w:p>
    <w:p w14:paraId="07BB24FC" w14:textId="2B2BF4CF" w:rsidR="00C716F3" w:rsidRDefault="00C716F3" w:rsidP="00C716F3">
      <w:pPr>
        <w:ind w:firstLine="708"/>
      </w:pPr>
      <w:r>
        <w:t>datum 1-</w:t>
      </w:r>
      <w:r w:rsidR="00883C45">
        <w:t>1</w:t>
      </w:r>
      <w:r>
        <w:t>-202</w:t>
      </w:r>
      <w:r w:rsidR="00883C45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883C45">
        <w:rPr>
          <w:color w:val="00B050"/>
        </w:rPr>
        <w:t>3</w:t>
      </w:r>
      <w:r w:rsidRPr="00496A69">
        <w:rPr>
          <w:color w:val="00B050"/>
        </w:rPr>
        <w:t>-0</w:t>
      </w:r>
      <w:r w:rsidR="00883C45"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77777777" w:rsidR="0094589F" w:rsidRDefault="0094589F" w:rsidP="0094589F">
      <w:pPr>
        <w:ind w:firstLine="708"/>
      </w:pPr>
      <w:r w:rsidRPr="00B32B48">
        <w:rPr>
          <w:highlight w:val="yellow"/>
        </w:rPr>
        <w:t>doorlaten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09675171">
    <w:abstractNumId w:val="12"/>
  </w:num>
  <w:num w:numId="2" w16cid:durableId="1290160193">
    <w:abstractNumId w:val="11"/>
  </w:num>
  <w:num w:numId="3" w16cid:durableId="1500926958">
    <w:abstractNumId w:val="16"/>
  </w:num>
  <w:num w:numId="4" w16cid:durableId="1017780286">
    <w:abstractNumId w:val="9"/>
  </w:num>
  <w:num w:numId="5" w16cid:durableId="545145763">
    <w:abstractNumId w:val="7"/>
  </w:num>
  <w:num w:numId="6" w16cid:durableId="135954104">
    <w:abstractNumId w:val="6"/>
  </w:num>
  <w:num w:numId="7" w16cid:durableId="1549754551">
    <w:abstractNumId w:val="5"/>
  </w:num>
  <w:num w:numId="8" w16cid:durableId="1148594789">
    <w:abstractNumId w:val="4"/>
  </w:num>
  <w:num w:numId="9" w16cid:durableId="250554017">
    <w:abstractNumId w:val="8"/>
  </w:num>
  <w:num w:numId="10" w16cid:durableId="575631565">
    <w:abstractNumId w:val="3"/>
  </w:num>
  <w:num w:numId="11" w16cid:durableId="1266962259">
    <w:abstractNumId w:val="2"/>
  </w:num>
  <w:num w:numId="12" w16cid:durableId="2111851823">
    <w:abstractNumId w:val="1"/>
  </w:num>
  <w:num w:numId="13" w16cid:durableId="253510955">
    <w:abstractNumId w:val="0"/>
  </w:num>
  <w:num w:numId="14" w16cid:durableId="1852913348">
    <w:abstractNumId w:val="17"/>
  </w:num>
  <w:num w:numId="15" w16cid:durableId="1526484092">
    <w:abstractNumId w:val="14"/>
  </w:num>
  <w:num w:numId="16" w16cid:durableId="732118996">
    <w:abstractNumId w:val="13"/>
  </w:num>
  <w:num w:numId="17" w16cid:durableId="1657345828">
    <w:abstractNumId w:val="17"/>
  </w:num>
  <w:num w:numId="18" w16cid:durableId="218129852">
    <w:abstractNumId w:val="17"/>
  </w:num>
  <w:num w:numId="19" w16cid:durableId="748505025">
    <w:abstractNumId w:val="17"/>
  </w:num>
  <w:num w:numId="20" w16cid:durableId="503403466">
    <w:abstractNumId w:val="17"/>
  </w:num>
  <w:num w:numId="21" w16cid:durableId="1692338346">
    <w:abstractNumId w:val="14"/>
  </w:num>
  <w:num w:numId="22" w16cid:durableId="1742483939">
    <w:abstractNumId w:val="13"/>
  </w:num>
  <w:num w:numId="23" w16cid:durableId="756946657">
    <w:abstractNumId w:val="17"/>
  </w:num>
  <w:num w:numId="24" w16cid:durableId="1705062150">
    <w:abstractNumId w:val="17"/>
  </w:num>
  <w:num w:numId="25" w16cid:durableId="1915771292">
    <w:abstractNumId w:val="17"/>
  </w:num>
  <w:num w:numId="26" w16cid:durableId="495153078">
    <w:abstractNumId w:val="15"/>
  </w:num>
  <w:num w:numId="27" w16cid:durableId="1404140321">
    <w:abstractNumId w:val="18"/>
  </w:num>
  <w:num w:numId="28" w16cid:durableId="802313494">
    <w:abstractNumId w:val="17"/>
  </w:num>
  <w:num w:numId="29" w16cid:durableId="487792209">
    <w:abstractNumId w:val="14"/>
  </w:num>
  <w:num w:numId="30" w16cid:durableId="443351654">
    <w:abstractNumId w:val="14"/>
  </w:num>
  <w:num w:numId="31" w16cid:durableId="170030225">
    <w:abstractNumId w:val="13"/>
  </w:num>
  <w:num w:numId="32" w16cid:durableId="885145459">
    <w:abstractNumId w:val="13"/>
  </w:num>
  <w:num w:numId="33" w16cid:durableId="1434588315">
    <w:abstractNumId w:val="17"/>
  </w:num>
  <w:num w:numId="34" w16cid:durableId="1326855654">
    <w:abstractNumId w:val="17"/>
  </w:num>
  <w:num w:numId="35" w16cid:durableId="954562018">
    <w:abstractNumId w:val="17"/>
  </w:num>
  <w:num w:numId="36" w16cid:durableId="1473936301">
    <w:abstractNumId w:val="17"/>
  </w:num>
  <w:num w:numId="37" w16cid:durableId="327515442">
    <w:abstractNumId w:val="10"/>
  </w:num>
  <w:num w:numId="38" w16cid:durableId="826441068">
    <w:abstractNumId w:val="9"/>
  </w:num>
  <w:num w:numId="39" w16cid:durableId="1286229334">
    <w:abstractNumId w:val="7"/>
  </w:num>
  <w:num w:numId="40" w16cid:durableId="1456212541">
    <w:abstractNumId w:val="6"/>
  </w:num>
  <w:num w:numId="41" w16cid:durableId="1774279821">
    <w:abstractNumId w:val="5"/>
  </w:num>
  <w:num w:numId="42" w16cid:durableId="1827668563">
    <w:abstractNumId w:val="4"/>
  </w:num>
  <w:num w:numId="43" w16cid:durableId="1260138378">
    <w:abstractNumId w:val="8"/>
  </w:num>
  <w:num w:numId="44" w16cid:durableId="1125274072">
    <w:abstractNumId w:val="3"/>
  </w:num>
  <w:num w:numId="45" w16cid:durableId="493884278">
    <w:abstractNumId w:val="2"/>
  </w:num>
  <w:num w:numId="46" w16cid:durableId="1491483617">
    <w:abstractNumId w:val="1"/>
  </w:num>
  <w:num w:numId="47" w16cid:durableId="5309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0D64A7"/>
    <w:rsid w:val="00265770"/>
    <w:rsid w:val="002A5A41"/>
    <w:rsid w:val="003135DD"/>
    <w:rsid w:val="003261C0"/>
    <w:rsid w:val="00483A12"/>
    <w:rsid w:val="00496A69"/>
    <w:rsid w:val="004F73C8"/>
    <w:rsid w:val="0055155A"/>
    <w:rsid w:val="005D1AAD"/>
    <w:rsid w:val="006707E1"/>
    <w:rsid w:val="0070363C"/>
    <w:rsid w:val="00772355"/>
    <w:rsid w:val="00883C45"/>
    <w:rsid w:val="00905375"/>
    <w:rsid w:val="0094589F"/>
    <w:rsid w:val="00AB7AC9"/>
    <w:rsid w:val="00B32B48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767B418A-E16A-405C-B36A-DBBA61C06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5DC9DC-FA87-42BE-A181-323368752C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83358-F942-4EE3-9CD8-8B30EAF654BE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3</cp:revision>
  <dcterms:created xsi:type="dcterms:W3CDTF">2021-11-23T08:03:00Z</dcterms:created>
  <dcterms:modified xsi:type="dcterms:W3CDTF">2022-09-19T14:26:00Z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