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2A749" w14:textId="46AB6278" w:rsidR="00372253" w:rsidRPr="00AB2172" w:rsidRDefault="00B060A7" w:rsidP="00A33608">
      <w:pPr>
        <w:pStyle w:val="Kop3"/>
      </w:pPr>
      <w:r w:rsidRPr="00B060A7">
        <w:t>Terminologie en toepassing</w:t>
      </w:r>
      <w:r w:rsidR="00067047">
        <w:t>sbereik</w:t>
      </w:r>
    </w:p>
    <w:p w14:paraId="1082C502" w14:textId="685C3755" w:rsidR="00766CEF" w:rsidRPr="00AB2172" w:rsidRDefault="00EC4CDB" w:rsidP="00E33EDD">
      <w:r w:rsidRPr="00AB2172">
        <w:t xml:space="preserve">Het voorliggende document is het toepassingsprofiel voor Natura 2000-besluiten. </w:t>
      </w:r>
      <w:r w:rsidR="00D9543E" w:rsidRPr="00AB2172">
        <w:t xml:space="preserve">Dit is de verzamelterm voor twee verschillende </w:t>
      </w:r>
      <w:r w:rsidR="004526FF" w:rsidRPr="00AB2172">
        <w:t xml:space="preserve">typen </w:t>
      </w:r>
      <w:r w:rsidR="00D9543E" w:rsidRPr="00AB2172">
        <w:t xml:space="preserve">besluiten: het besluit tot aanwijzing van </w:t>
      </w:r>
      <w:r w:rsidR="00750375" w:rsidRPr="00AB2172">
        <w:t xml:space="preserve">een </w:t>
      </w:r>
      <w:r w:rsidR="00D9543E" w:rsidRPr="00AB2172">
        <w:t xml:space="preserve">Natura 2000-gebied </w:t>
      </w:r>
      <w:r w:rsidR="004526FF" w:rsidRPr="00AB2172">
        <w:t xml:space="preserve">en het besluit tot </w:t>
      </w:r>
      <w:r w:rsidR="00561873" w:rsidRPr="00AB2172">
        <w:t xml:space="preserve">verbieden of </w:t>
      </w:r>
      <w:r w:rsidR="004526FF" w:rsidRPr="00AB2172">
        <w:t>beperk</w:t>
      </w:r>
      <w:r w:rsidR="00561873" w:rsidRPr="00AB2172">
        <w:t>e</w:t>
      </w:r>
      <w:r w:rsidR="004526FF" w:rsidRPr="00AB2172">
        <w:t xml:space="preserve">n van de toegang tot een Natura </w:t>
      </w:r>
      <w:r w:rsidR="004526FF" w:rsidRPr="00AB2172">
        <w:lastRenderedPageBreak/>
        <w:t xml:space="preserve">2000-gebied. </w:t>
      </w:r>
      <w:r w:rsidR="00A602F7" w:rsidRPr="00AB2172">
        <w:t>Daar waar</w:t>
      </w:r>
      <w:r w:rsidR="00500774" w:rsidRPr="00AB2172">
        <w:t xml:space="preserve"> beide besluittypen worden bedoeld, bijvoorbeeld omdat een beschrijving, modellering of specificatie</w:t>
      </w:r>
      <w:r w:rsidR="001073B1" w:rsidRPr="00AB2172">
        <w:t xml:space="preserve"> voor beide van toepassing is, wordt in dit document </w:t>
      </w:r>
      <w:r w:rsidR="00A602F7" w:rsidRPr="00AB2172">
        <w:t xml:space="preserve">de term ‘Natura 2000-besluiten’ gebruikt. </w:t>
      </w:r>
      <w:r w:rsidR="00517DBF" w:rsidRPr="00AB2172">
        <w:t xml:space="preserve">Wanneer </w:t>
      </w:r>
      <w:r w:rsidR="006861D7" w:rsidRPr="00AB2172">
        <w:t xml:space="preserve">iets voor </w:t>
      </w:r>
      <w:r w:rsidR="00F87BFE" w:rsidRPr="00AB2172">
        <w:t xml:space="preserve">slechts één </w:t>
      </w:r>
      <w:r w:rsidR="006861D7" w:rsidRPr="00AB2172">
        <w:t xml:space="preserve">van beide typen van toepassing is, wordt </w:t>
      </w:r>
      <w:r w:rsidR="00E6495E" w:rsidRPr="00AB2172">
        <w:t xml:space="preserve">het relevante besluittype genoemd. Daarbij zal het besluit tot aanwijzing van </w:t>
      </w:r>
      <w:r w:rsidR="00EE3589" w:rsidRPr="00AB2172">
        <w:t xml:space="preserve">een </w:t>
      </w:r>
      <w:r w:rsidR="00E6495E" w:rsidRPr="00AB2172">
        <w:t>Natura 2000-gebied vaak ‘</w:t>
      </w:r>
      <w:r w:rsidR="004E4896" w:rsidRPr="00AB2172">
        <w:t>a</w:t>
      </w:r>
      <w:r w:rsidR="00E6495E" w:rsidRPr="00AB2172">
        <w:t xml:space="preserve">anwijzingsbesluit’ worden genoemd </w:t>
      </w:r>
      <w:r w:rsidR="00F82AD3" w:rsidRPr="00AB2172">
        <w:t xml:space="preserve">en het besluit tot </w:t>
      </w:r>
      <w:r w:rsidR="009C6814" w:rsidRPr="00AB2172">
        <w:t xml:space="preserve">beperken of </w:t>
      </w:r>
      <w:r w:rsidR="007C1025" w:rsidRPr="00AB2172">
        <w:t>verbieden</w:t>
      </w:r>
      <w:r w:rsidR="009C6814" w:rsidRPr="00AB2172">
        <w:t xml:space="preserve"> </w:t>
      </w:r>
      <w:r w:rsidR="00F82AD3" w:rsidRPr="00AB2172">
        <w:t>van de toegang tot een Natura 2000-gebied meestal worden aangeduid als ‘</w:t>
      </w:r>
      <w:r w:rsidR="00C70920">
        <w:t>toegangsbeperkingsbesluit</w:t>
      </w:r>
      <w:r w:rsidR="00F82AD3" w:rsidRPr="00AB2172">
        <w:t>’.</w:t>
      </w:r>
    </w:p>
    <w:p w14:paraId="0A2BACD3" w14:textId="5FFDC41C" w:rsidR="00F82AD3" w:rsidRPr="00AB2172" w:rsidRDefault="006C6358" w:rsidP="00E33EDD">
      <w:r w:rsidRPr="00AB2172">
        <w:t xml:space="preserve">Het TPOD Natura 2000-besluiten is onderdeel van de set </w:t>
      </w:r>
      <w:r w:rsidR="009B0208" w:rsidRPr="00AB2172">
        <w:t>ToepassingsProfielen voor OmgevingsDocumenten</w:t>
      </w:r>
      <w:r w:rsidR="00D036A2" w:rsidRPr="00AB2172">
        <w:t xml:space="preserve"> die zijn bedoeld voor </w:t>
      </w:r>
      <w:r w:rsidR="002F4408" w:rsidRPr="00AB2172">
        <w:t xml:space="preserve">besluiten en andere rechtsfiguren die zijn gebaseerd op </w:t>
      </w:r>
      <w:r w:rsidR="00D036A2" w:rsidRPr="00AB2172">
        <w:t xml:space="preserve">de </w:t>
      </w:r>
      <w:r w:rsidR="002F4408" w:rsidRPr="00AB2172">
        <w:t xml:space="preserve">Omgevingswet. </w:t>
      </w:r>
      <w:r w:rsidR="00F50CFE" w:rsidRPr="00AB2172">
        <w:t>De integrale</w:t>
      </w:r>
      <w:r w:rsidR="00424E5F" w:rsidRPr="00AB2172">
        <w:t xml:space="preserve">, geconsolideerde versies van die besluiten en andere rechtsfiguren </w:t>
      </w:r>
      <w:r w:rsidR="00590BE3" w:rsidRPr="00AB2172">
        <w:t xml:space="preserve">zijn te raadplegen in </w:t>
      </w:r>
      <w:r w:rsidR="006E51C6" w:rsidRPr="00AB2172">
        <w:t xml:space="preserve">de viewer van </w:t>
      </w:r>
      <w:r w:rsidR="00590BE3" w:rsidRPr="00AB2172">
        <w:t xml:space="preserve">DSO-LV </w:t>
      </w:r>
      <w:r w:rsidR="00AC6358" w:rsidRPr="00AB2172">
        <w:t xml:space="preserve">die </w:t>
      </w:r>
      <w:r w:rsidR="00127BE6" w:rsidRPr="00AB2172">
        <w:t>specifiek voor de Omgevingswet</w:t>
      </w:r>
      <w:r w:rsidR="00A07A07" w:rsidRPr="00AB2172">
        <w:t xml:space="preserve"> wordt gebruikt</w:t>
      </w:r>
      <w:r w:rsidR="00127BE6" w:rsidRPr="00AB2172">
        <w:t xml:space="preserve">. </w:t>
      </w:r>
      <w:r w:rsidR="00FB0517" w:rsidRPr="00AB2172">
        <w:t>De toepassingsprofielen zijn in principe bedoeld</w:t>
      </w:r>
      <w:r w:rsidR="00A07A07" w:rsidRPr="00AB2172">
        <w:t xml:space="preserve"> </w:t>
      </w:r>
      <w:r w:rsidR="00E11C37" w:rsidRPr="00AB2172">
        <w:t xml:space="preserve">voor </w:t>
      </w:r>
      <w:r w:rsidR="0034651C" w:rsidRPr="00AB2172">
        <w:t xml:space="preserve">besluiten die zijn genomen en rechtsfiguren die zijn vastgesteld na inwerkingtreden van de Omgevingswet. </w:t>
      </w:r>
      <w:r w:rsidR="00270617" w:rsidRPr="00AB2172">
        <w:t xml:space="preserve">Voor de </w:t>
      </w:r>
      <w:r w:rsidR="00EF06BB" w:rsidRPr="00AB2172">
        <w:t>Natura 2000-besluiten die zijn genomen op basis van voorgaande wetgeving, te weten de Natuurbeschermingswet 1998 en de Wet natuurbescherming</w:t>
      </w:r>
      <w:r w:rsidR="00185FEB" w:rsidRPr="00AB2172">
        <w:t xml:space="preserve">, kent de Omgevingswet eerbiedigend overgangsrecht: ze gelden als </w:t>
      </w:r>
      <w:r w:rsidR="00EA574D" w:rsidRPr="00AB2172">
        <w:t xml:space="preserve">Natura 2000-besluiten genomen op basis van de Omgevingswet. </w:t>
      </w:r>
      <w:r w:rsidR="00767E71" w:rsidRPr="00AB2172">
        <w:t xml:space="preserve">Vanuit </w:t>
      </w:r>
      <w:r w:rsidR="00E761D1" w:rsidRPr="00AB2172">
        <w:t xml:space="preserve">juridisch </w:t>
      </w:r>
      <w:r w:rsidR="00767E71" w:rsidRPr="00AB2172">
        <w:t>perspectief is er dus geen noodzaak om</w:t>
      </w:r>
      <w:r w:rsidR="00625AB0" w:rsidRPr="00AB2172">
        <w:t xml:space="preserve"> </w:t>
      </w:r>
      <w:r w:rsidR="00B3376E" w:rsidRPr="00AB2172">
        <w:t xml:space="preserve">voor </w:t>
      </w:r>
      <w:r w:rsidR="00625AB0" w:rsidRPr="00AB2172">
        <w:t>de Natura 2000-</w:t>
      </w:r>
      <w:r w:rsidR="00B3376E" w:rsidRPr="00AB2172">
        <w:t xml:space="preserve">gebieden nieuwe </w:t>
      </w:r>
      <w:r w:rsidR="004D02D2" w:rsidRPr="00AB2172">
        <w:t>besluiten op basis van de Omgevings</w:t>
      </w:r>
      <w:r w:rsidR="00B3376E" w:rsidRPr="00AB2172">
        <w:t>wet te nemen</w:t>
      </w:r>
      <w:r w:rsidR="00E765CD" w:rsidRPr="00AB2172">
        <w:t>. Het is echter</w:t>
      </w:r>
      <w:r w:rsidR="00466A56" w:rsidRPr="00AB2172">
        <w:t>, gezien de rol die Natura 2000-gebied</w:t>
      </w:r>
      <w:r w:rsidR="006377D1" w:rsidRPr="00AB2172">
        <w:t xml:space="preserve">en spelen bij de beoordeling van aanvragen om </w:t>
      </w:r>
      <w:r w:rsidR="007F6CB4" w:rsidRPr="00AB2172">
        <w:t xml:space="preserve">een </w:t>
      </w:r>
      <w:r w:rsidR="006377D1" w:rsidRPr="00AB2172">
        <w:t>omgevingsvergunning</w:t>
      </w:r>
      <w:r w:rsidR="00C14175" w:rsidRPr="00AB2172">
        <w:t xml:space="preserve"> en de </w:t>
      </w:r>
      <w:r w:rsidR="008B17EE" w:rsidRPr="00AB2172">
        <w:t xml:space="preserve">beoordeling van de </w:t>
      </w:r>
      <w:r w:rsidR="00C14175" w:rsidRPr="00AB2172">
        <w:t xml:space="preserve">kansrijkheid van voorgenomen projecten, </w:t>
      </w:r>
      <w:r w:rsidR="00C735E1" w:rsidRPr="00AB2172">
        <w:t xml:space="preserve">zeer wenselijk om ook de op grond van voorgaande wetgeving genomen </w:t>
      </w:r>
      <w:r w:rsidR="00BA5DE6" w:rsidRPr="00AB2172">
        <w:t xml:space="preserve">Natura 2000-besluiten in DSO-LV te kunnen raadplegen. Daarom is besloten </w:t>
      </w:r>
      <w:r w:rsidR="00F868D0" w:rsidRPr="00AB2172">
        <w:t xml:space="preserve">om </w:t>
      </w:r>
      <w:r w:rsidR="005F7D3D" w:rsidRPr="00AB2172">
        <w:t xml:space="preserve">van die reeds genomen besluiten </w:t>
      </w:r>
      <w:r w:rsidR="00F868D0" w:rsidRPr="00AB2172">
        <w:t xml:space="preserve">geconsolideerde versies te maken die </w:t>
      </w:r>
      <w:r w:rsidR="005F7D3D" w:rsidRPr="00AB2172">
        <w:t xml:space="preserve">voldoen aan </w:t>
      </w:r>
      <w:r w:rsidR="00F868D0" w:rsidRPr="00AB2172">
        <w:t>het onderhavige</w:t>
      </w:r>
      <w:r w:rsidR="006953D2" w:rsidRPr="00AB2172">
        <w:t xml:space="preserve"> toepassingsprofiel</w:t>
      </w:r>
      <w:r w:rsidR="005F7D3D" w:rsidRPr="00AB2172">
        <w:t xml:space="preserve">. </w:t>
      </w:r>
      <w:r w:rsidR="00EB370D" w:rsidRPr="00AB2172">
        <w:t xml:space="preserve">De verplichting om dit toepassingsprofiel te gebruiken geldt </w:t>
      </w:r>
      <w:r w:rsidR="001B7095" w:rsidRPr="00AB2172">
        <w:t xml:space="preserve">alleen </w:t>
      </w:r>
      <w:r w:rsidR="001609AC" w:rsidRPr="00AB2172">
        <w:t xml:space="preserve">voor Natura 2000-besluiten die op grond van de Omgevingswet zijn genomen, maar </w:t>
      </w:r>
      <w:r w:rsidR="001B7095" w:rsidRPr="00AB2172">
        <w:t xml:space="preserve">het toepassingsprofiel </w:t>
      </w:r>
      <w:r w:rsidR="001609AC" w:rsidRPr="00AB2172">
        <w:t>zal ook</w:t>
      </w:r>
      <w:r w:rsidR="00DC12AE" w:rsidRPr="00AB2172">
        <w:t xml:space="preserve"> </w:t>
      </w:r>
      <w:r w:rsidR="00CB0082" w:rsidRPr="00AB2172">
        <w:t xml:space="preserve">worden gebruikt als </w:t>
      </w:r>
      <w:r w:rsidR="0079324D" w:rsidRPr="00AB2172">
        <w:t xml:space="preserve">hulpmiddel </w:t>
      </w:r>
      <w:r w:rsidR="00CB0082" w:rsidRPr="00AB2172">
        <w:t xml:space="preserve">voor de </w:t>
      </w:r>
      <w:r w:rsidR="0079324D" w:rsidRPr="00AB2172">
        <w:t xml:space="preserve">ontsluiting van </w:t>
      </w:r>
      <w:r w:rsidR="00E4346F" w:rsidRPr="00AB2172">
        <w:t xml:space="preserve">reeds genomen </w:t>
      </w:r>
      <w:r w:rsidR="0079324D" w:rsidRPr="00AB2172">
        <w:t>Natura 2000-besluiten</w:t>
      </w:r>
      <w:r w:rsidR="00E4346F" w:rsidRPr="00AB2172">
        <w:t>.</w:t>
      </w:r>
      <w:r w:rsidR="00AF0A3A" w:rsidRPr="00AB2172">
        <w:t xml:space="preserve"> </w:t>
      </w:r>
      <w:r w:rsidR="00B359A9" w:rsidRPr="00AB2172">
        <w:t>Zoals gezegd</w:t>
      </w:r>
      <w:r w:rsidR="00AF0A3A" w:rsidRPr="00AB2172">
        <w:t xml:space="preserve"> worden </w:t>
      </w:r>
      <w:r w:rsidR="00B359A9" w:rsidRPr="00AB2172">
        <w:t xml:space="preserve">er </w:t>
      </w:r>
      <w:r w:rsidR="00AF0A3A" w:rsidRPr="00AB2172">
        <w:t>nieuwe versies van die besluiten gemaakt die voldoen aan de STOP/TPOD-standaard</w:t>
      </w:r>
      <w:r w:rsidR="00B359A9" w:rsidRPr="00AB2172">
        <w:t xml:space="preserve">, maar </w:t>
      </w:r>
      <w:r w:rsidR="00D5004F" w:rsidRPr="00AB2172">
        <w:t xml:space="preserve">de besluiten </w:t>
      </w:r>
      <w:r w:rsidR="00B359A9" w:rsidRPr="00AB2172">
        <w:t>word</w:t>
      </w:r>
      <w:r w:rsidR="00D5004F" w:rsidRPr="00AB2172">
        <w:t>en</w:t>
      </w:r>
      <w:r w:rsidR="00B359A9" w:rsidRPr="00AB2172">
        <w:t xml:space="preserve"> niet opnieuw </w:t>
      </w:r>
      <w:r w:rsidR="00D5004F" w:rsidRPr="00AB2172">
        <w:t>genomen</w:t>
      </w:r>
      <w:r w:rsidR="00F17769" w:rsidRPr="00AB2172">
        <w:t>. De nieuwe versies</w:t>
      </w:r>
      <w:r w:rsidR="00C37E3F" w:rsidRPr="00AB2172">
        <w:t xml:space="preserve"> worden niet opnieuw bekendgemaakt</w:t>
      </w:r>
      <w:r w:rsidR="004129A4" w:rsidRPr="00AB2172">
        <w:t xml:space="preserve">, maar door de LVBB rechtstreeks doorgeleverd aan DSO-LV. </w:t>
      </w:r>
      <w:r w:rsidR="00AC6C58" w:rsidRPr="00AB2172">
        <w:t>Er staat dus ook niet opnieuw beroep open tegen de Natura 2000-besluiten.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