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66110" w14:textId="0FC81CF7" w:rsidR="00E33EDD" w:rsidRPr="00AB2172" w:rsidRDefault="00E33EDD" w:rsidP="00E33EDD">
      <w:pPr>
        <w:pStyle w:val="Kop3"/>
      </w:pPr>
      <w:r w:rsidRPr="00AB2172">
        <w:t xml:space="preserve">Algemene kenmerken </w:t>
      </w:r>
      <w:r w:rsidRPr="00AB2172">
        <w:fldChar w:fldCharType="begin"/>
      </w:r>
      <w:r w:rsidRPr="00AB2172">
        <w:instrText xml:space="preserve"> </w:instrText>
      </w:r>
      <w:r w:rsidR="00927E81" w:rsidRPr="00AB2172">
        <w:instrText>DOCVARIABLE ID01</w:instrText>
      </w:r>
      <w:r w:rsidRPr="00AB2172">
        <w:instrText xml:space="preserve"> </w:instrText>
      </w:r>
      <w:r w:rsidRPr="00AB2172">
        <w:fldChar w:fldCharType="separate"/>
      </w:r>
      <w:r w:rsidR="006F52F5">
        <w:t>Natura 2000-besluiten</w:t>
      </w:r>
      <w:r w:rsidRPr="00AB2172">
        <w:fldChar w:fldCharType="end"/>
      </w:r>
      <w:bookmarkEnd w:id="77"/>
    </w:p>
    <w:p w14:paraId="15C66DA9" w14:textId="6DBB584C" w:rsidR="00E33EDD" w:rsidRPr="00AB2172" w:rsidRDefault="00E33EDD" w:rsidP="00E33EDD">
      <w:r w:rsidRPr="00AB2172">
        <w:t xml:space="preserve">In </w:t>
      </w:r>
      <w:r w:rsidRPr="004C1E72">
        <w:rPr>
          <w:rStyle w:val="Verwijzing"/>
        </w:rPr>
        <w:fldChar w:fldCharType="begin"/>
      </w:r>
      <w:r w:rsidRPr="004C1E72">
        <w:rPr>
          <w:rStyle w:val="Verwijzing"/>
        </w:rPr>
        <w:instrText xml:space="preserve"> REF _Ref_b3a27f694ef894a0d3a8dbbf1852ab11_1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Tabel 1</w:t>
      </w:r>
      <w:r w:rsidRPr="004C1E72">
        <w:rPr>
          <w:rStyle w:val="Verwijzing"/>
        </w:rPr>
        <w:fldChar w:fldCharType="end"/>
      </w:r>
      <w:r w:rsidRPr="00AB2172">
        <w:t xml:space="preserve"> tot en met </w:t>
      </w:r>
      <w:r w:rsidRPr="004C1E72">
        <w:rPr>
          <w:rStyle w:val="Verwijzing"/>
        </w:rPr>
        <w:fldChar w:fldCharType="begin"/>
      </w:r>
      <w:r w:rsidRPr="004C1E72">
        <w:rPr>
          <w:rStyle w:val="Verwijzing"/>
        </w:rPr>
        <w:instrText xml:space="preserve"> REF _Ref_b3a27f694ef894a0d3a8dbbf1852ab11_2 \n \h </w:instrText>
      </w:r>
      <w:r w:rsidR="00AB2172" w:rsidRPr="004C1E72">
        <w:rPr>
          <w:rStyle w:val="Verwijzing"/>
        </w:rPr>
        <w:instrText xml:space="preserve"> \* MERGEFORMAT </w:instrText>
      </w:r>
      <w:r w:rsidRPr="004C1E72">
        <w:rPr>
          <w:rStyle w:val="Verwijzing"/>
        </w:rPr>
      </w:r>
      <w:r w:rsidRPr="004C1E72">
        <w:rPr>
          <w:rStyle w:val="Verwijzing"/>
        </w:rPr>
        <w:fldChar w:fldCharType="separate"/>
      </w:r>
      <w:r w:rsidR="006F52F5" w:rsidRPr="004C1E72">
        <w:rPr>
          <w:rStyle w:val="Verwijzing"/>
        </w:rPr>
        <w:t>Tabel 3</w:t>
      </w:r>
      <w:r w:rsidRPr="004C1E72">
        <w:rPr>
          <w:rStyle w:val="Verwijzing"/>
        </w:rPr>
        <w:fldChar w:fldCharType="end"/>
      </w:r>
      <w:r w:rsidRPr="00AB2172">
        <w:t xml:space="preserve"> zijn de algemene kenmerken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opgenomen. Deze kenmerken leggen de algemene eigenschappen vast, waarmee informatie over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wordt bijgehouden. Doel van deze tabellen is het weergeven van de meest essentiële algemene kenmerken van het instrument zodat de lezer het beter kan plaatsen en vergelijken met bestaande instrumenten</w:t>
      </w:r>
      <w:r w:rsidR="00435B89" w:rsidRPr="00AB2172">
        <w:t>,</w:t>
      </w:r>
      <w:r w:rsidR="002D6DC4" w:rsidRPr="00AB2172">
        <w:t xml:space="preserve"> </w:t>
      </w:r>
      <w:r w:rsidR="00435B89" w:rsidRPr="00AB2172">
        <w:t>n</w:t>
      </w:r>
      <w:r w:rsidRPr="00AB2172">
        <w:t>iet om een volledig sluitende beschrijving te geven.</w:t>
      </w:r>
      <w:r w:rsidR="002373B4" w:rsidRPr="00AB2172">
        <w:t xml:space="preserve"> De in de tabellen aangehaalde artikelen zijn afkomstig uit de Omgevingswet (verder: Ow), tenzij anders vermeld.</w:t>
      </w:r>
    </w:p>
    <w:p w14:paraId="7869A231" w14:textId="60266B30" w:rsidR="00E33EDD" w:rsidRPr="00AB2172" w:rsidRDefault="00E33EDD" w:rsidP="00E33EDD">
      <w:pPr>
        <w:pStyle w:val="Tabeltitel"/>
      </w:pPr>
      <w:bookmarkStart w:id="79" w:name="_Ref_b3a27f694ef894a0d3a8dbbf1852ab11_1"/>
      <w:r w:rsidRPr="00AB2172">
        <w:lastRenderedPageBreak/>
        <w:t>Juridische kenmerken</w:t>
      </w:r>
      <w:bookmarkEnd w:id="79"/>
      <w:r w:rsidR="00DE4975" w:rsidRPr="00AB2172">
        <w:rPr>
          <w:rStyle w:val="Voetnootmarkering"/>
        </w:rPr>
        <w:footnoteReference w:id="4"/>
      </w:r>
    </w:p>
    <w:tbl>
      <w:tblPr>
        <w:tblStyle w:val="Tabel"/>
        <w:tblW w:w="5000" w:type="pct"/>
        <w:tblLayout w:type="fixed"/>
        <w:tblLook w:val="0620" w:firstRow="1" w:lastRow="0" w:firstColumn="0" w:lastColumn="0" w:noHBand="1" w:noVBand="1"/>
      </w:tblPr>
      <w:tblGrid>
        <w:gridCol w:w="2972"/>
        <w:gridCol w:w="2761"/>
        <w:gridCol w:w="2761"/>
      </w:tblGrid>
      <w:tr w:rsidR="000E3822" w:rsidRPr="00AB2172" w14:paraId="5431291C" w14:textId="77777777" w:rsidTr="00070AD5">
        <w:trPr>
          <w:cnfStyle w:val="100000000000" w:firstRow="1" w:lastRow="0" w:firstColumn="0" w:lastColumn="0" w:oddVBand="0" w:evenVBand="0" w:oddHBand="0" w:evenHBand="0" w:firstRowFirstColumn="0" w:firstRowLastColumn="0" w:lastRowFirstColumn="0" w:lastRowLastColumn="0"/>
          <w:tblHeader/>
        </w:trPr>
        <w:tc>
          <w:tcPr>
            <w:tcW w:w="1749" w:type="pct"/>
          </w:tcPr>
          <w:p w14:paraId="07801BAE" w14:textId="77777777" w:rsidR="000E3822" w:rsidRPr="00AB2172" w:rsidRDefault="000E3822" w:rsidP="009F5482">
            <w:r w:rsidRPr="00AB2172">
              <w:t>Onderwerp</w:t>
            </w:r>
          </w:p>
        </w:tc>
        <w:tc>
          <w:tcPr>
            <w:tcW w:w="1625" w:type="pct"/>
          </w:tcPr>
          <w:p w14:paraId="602CF27F" w14:textId="2B37208F" w:rsidR="000E3822" w:rsidRPr="00AB2172" w:rsidRDefault="000E3822" w:rsidP="009F5482">
            <w:pPr>
              <w:rPr>
                <w:b w:val="0"/>
              </w:rPr>
            </w:pPr>
            <w:r w:rsidRPr="00AB2172">
              <w:t>Specificatie</w:t>
            </w:r>
            <w:r w:rsidR="006B5652" w:rsidRPr="00AB2172">
              <w:t xml:space="preserve"> </w:t>
            </w:r>
            <w:r w:rsidR="00B75BE1" w:rsidRPr="00AB2172">
              <w:t xml:space="preserve">voor </w:t>
            </w:r>
            <w:r w:rsidR="006759D8">
              <w:t>a</w:t>
            </w:r>
            <w:r w:rsidR="006B5652" w:rsidRPr="00AB2172">
              <w:t>anwijzingsbesluit</w:t>
            </w:r>
          </w:p>
        </w:tc>
        <w:tc>
          <w:tcPr>
            <w:tcW w:w="1625" w:type="pct"/>
          </w:tcPr>
          <w:p w14:paraId="58B288A6" w14:textId="627F3710" w:rsidR="000E3822" w:rsidRPr="00AB2172" w:rsidRDefault="006B5652" w:rsidP="009F5482">
            <w:r w:rsidRPr="00AB2172">
              <w:t xml:space="preserve">Specificatie </w:t>
            </w:r>
            <w:r w:rsidR="00B75BE1" w:rsidRPr="00AB2172">
              <w:t xml:space="preserve">voor </w:t>
            </w:r>
            <w:r w:rsidR="00C70920">
              <w:t>toegangsbeperkingsbesluit</w:t>
            </w:r>
          </w:p>
        </w:tc>
      </w:tr>
      <w:tr w:rsidR="000E3822" w:rsidRPr="00AB2172" w14:paraId="7107F154" w14:textId="77777777" w:rsidTr="00070AD5">
        <w:tc>
          <w:tcPr>
            <w:tcW w:w="1749" w:type="pct"/>
          </w:tcPr>
          <w:p w14:paraId="7D030B15" w14:textId="77777777" w:rsidR="000E3822" w:rsidRPr="00AB2172" w:rsidRDefault="000E3822" w:rsidP="009F5482">
            <w:pPr>
              <w:rPr>
                <w:color w:val="000000" w:themeColor="text1"/>
              </w:rPr>
            </w:pPr>
            <w:r w:rsidRPr="00AB2172">
              <w:rPr>
                <w:color w:val="000000" w:themeColor="text1"/>
              </w:rPr>
              <w:t>Grondslag rechtsfiguur</w:t>
            </w:r>
          </w:p>
        </w:tc>
        <w:tc>
          <w:tcPr>
            <w:tcW w:w="1625" w:type="pct"/>
          </w:tcPr>
          <w:p w14:paraId="7AF86F44" w14:textId="57E0ACDB" w:rsidR="000E3822" w:rsidRPr="00AB2172" w:rsidRDefault="00A6609A" w:rsidP="009F5482">
            <w:pPr>
              <w:rPr>
                <w:color w:val="000000" w:themeColor="text1"/>
                <w:szCs w:val="18"/>
              </w:rPr>
            </w:pPr>
            <w:r w:rsidRPr="00AB2172">
              <w:rPr>
                <w:color w:val="000000" w:themeColor="text1"/>
                <w:szCs w:val="18"/>
              </w:rPr>
              <w:t>Art. 2.44 lid 1 Ow</w:t>
            </w:r>
          </w:p>
        </w:tc>
        <w:tc>
          <w:tcPr>
            <w:tcW w:w="1625" w:type="pct"/>
          </w:tcPr>
          <w:p w14:paraId="78CD24C1" w14:textId="66713B52" w:rsidR="000E3822" w:rsidRPr="00AB2172" w:rsidRDefault="00EC065D" w:rsidP="009F5482">
            <w:pPr>
              <w:rPr>
                <w:color w:val="000000" w:themeColor="text1"/>
                <w:szCs w:val="18"/>
              </w:rPr>
            </w:pPr>
            <w:r w:rsidRPr="00AB2172">
              <w:rPr>
                <w:color w:val="000000" w:themeColor="text1"/>
                <w:szCs w:val="18"/>
              </w:rPr>
              <w:t>Art. 2.45 lid</w:t>
            </w:r>
            <w:r w:rsidR="003C7640" w:rsidRPr="00AB2172">
              <w:rPr>
                <w:color w:val="000000" w:themeColor="text1"/>
                <w:szCs w:val="18"/>
              </w:rPr>
              <w:t xml:space="preserve"> 1 en 2 Ow</w:t>
            </w:r>
          </w:p>
        </w:tc>
      </w:tr>
      <w:tr w:rsidR="000E3822" w:rsidRPr="00AB2172" w14:paraId="24169E47" w14:textId="77777777" w:rsidTr="00070AD5">
        <w:tc>
          <w:tcPr>
            <w:tcW w:w="1749" w:type="pct"/>
          </w:tcPr>
          <w:p w14:paraId="58C20F09" w14:textId="77777777" w:rsidR="000E3822" w:rsidRPr="00AB2172" w:rsidRDefault="000E3822" w:rsidP="009F5482">
            <w:pPr>
              <w:rPr>
                <w:color w:val="000000" w:themeColor="text1"/>
              </w:rPr>
            </w:pPr>
            <w:r w:rsidRPr="00AB2172">
              <w:rPr>
                <w:color w:val="000000" w:themeColor="text1"/>
              </w:rPr>
              <w:t>Voorbereidingsprocedure</w:t>
            </w:r>
          </w:p>
        </w:tc>
        <w:tc>
          <w:tcPr>
            <w:tcW w:w="1625" w:type="pct"/>
          </w:tcPr>
          <w:p w14:paraId="59DB94C9" w14:textId="7DF6599D" w:rsidR="00453A37" w:rsidRPr="00AB2172" w:rsidRDefault="00453A37" w:rsidP="00846000">
            <w:pPr>
              <w:pStyle w:val="Opsommingtekens1"/>
            </w:pPr>
            <w:r w:rsidRPr="00AB2172">
              <w:t xml:space="preserve">Overleggen ontwerp-voorstel </w:t>
            </w:r>
            <w:r w:rsidR="00EB63B6" w:rsidRPr="00AB2172">
              <w:t xml:space="preserve">van lijst </w:t>
            </w:r>
            <w:r w:rsidRPr="00AB2172">
              <w:t>Natura 2000-gebied</w:t>
            </w:r>
            <w:r w:rsidR="00590007" w:rsidRPr="00AB2172">
              <w:t>en</w:t>
            </w:r>
            <w:r w:rsidR="005B7BF7" w:rsidRPr="00AB2172">
              <w:t xml:space="preserve"> </w:t>
            </w:r>
            <w:r w:rsidRPr="00AB2172">
              <w:t>aan beide kamers der Staten-Generaal</w:t>
            </w:r>
            <w:r w:rsidR="00A3001C" w:rsidRPr="00AB2172">
              <w:t xml:space="preserve"> </w:t>
            </w:r>
            <w:r w:rsidR="00EC4557" w:rsidRPr="00AB2172">
              <w:t>indien gelegen binnen exclusieve economische zone</w:t>
            </w:r>
            <w:r w:rsidR="00F42368" w:rsidRPr="00AB2172">
              <w:rPr>
                <w:rStyle w:val="Voetnootmarkering"/>
              </w:rPr>
              <w:footnoteReference w:id="5"/>
            </w:r>
            <w:r w:rsidR="00EC4557" w:rsidRPr="00AB2172">
              <w:t xml:space="preserve"> en aanwijzing o.g.v. habitatrichtlijn </w:t>
            </w:r>
            <w:r w:rsidR="00A3001C" w:rsidRPr="00AB2172">
              <w:t>(art. 2</w:t>
            </w:r>
            <w:r w:rsidR="002D30E5" w:rsidRPr="00AB2172">
              <w:t>3.5a lid 1 Ow)</w:t>
            </w:r>
          </w:p>
          <w:p w14:paraId="0BADF7CC" w14:textId="4114EFC6" w:rsidR="00846000" w:rsidRPr="00AB2172" w:rsidRDefault="009D5813" w:rsidP="00846000">
            <w:pPr>
              <w:pStyle w:val="Opsommingtekens1"/>
            </w:pPr>
            <w:r w:rsidRPr="00AB2172">
              <w:t xml:space="preserve">Aanmelding bij de EU van voornemen </w:t>
            </w:r>
            <w:r w:rsidR="00642C99" w:rsidRPr="00AB2172">
              <w:t>Natura 2000-</w:t>
            </w:r>
            <w:r w:rsidR="00B557A7" w:rsidRPr="00AB2172">
              <w:t xml:space="preserve">gebied </w:t>
            </w:r>
            <w:r w:rsidR="005747FA" w:rsidRPr="00AB2172">
              <w:t xml:space="preserve">aan te wijzen </w:t>
            </w:r>
            <w:r w:rsidR="00621D9C" w:rsidRPr="00AB2172">
              <w:t>verplicht</w:t>
            </w:r>
            <w:r w:rsidR="00920F7A" w:rsidRPr="00AB2172">
              <w:rPr>
                <w:rStyle w:val="Voetnootmarkering"/>
              </w:rPr>
              <w:footnoteReference w:id="6"/>
            </w:r>
            <w:r w:rsidR="00273490" w:rsidRPr="00AB2172">
              <w:t xml:space="preserve"> bij aanwijzing o.g.v. habitatrichtlijn</w:t>
            </w:r>
          </w:p>
          <w:p w14:paraId="7407806A" w14:textId="21B57A2C" w:rsidR="00C26490" w:rsidRPr="00AB2172" w:rsidRDefault="00EA262A" w:rsidP="00846000">
            <w:pPr>
              <w:pStyle w:val="Opsommingtekens1"/>
            </w:pPr>
            <w:r w:rsidRPr="00AB2172">
              <w:t>T</w:t>
            </w:r>
            <w:r w:rsidR="001A5391" w:rsidRPr="00AB2172">
              <w:t xml:space="preserve">oepassen afdeling 3.4 Awb </w:t>
            </w:r>
            <w:r w:rsidR="00165C67" w:rsidRPr="00AB2172">
              <w:t>verplicht, tenzij sprake is van wijziging van ondergeschikte aard</w:t>
            </w:r>
            <w:r w:rsidR="00B378A6" w:rsidRPr="00AB2172">
              <w:t xml:space="preserve"> (art. 16.25a Ow)</w:t>
            </w:r>
          </w:p>
          <w:p w14:paraId="04885832" w14:textId="4C23FA0C" w:rsidR="00B7331A" w:rsidRPr="00AB2172" w:rsidRDefault="00EF61D0" w:rsidP="00E42652">
            <w:pPr>
              <w:pStyle w:val="Opsommingtekens1"/>
            </w:pPr>
            <w:r w:rsidRPr="00AB2172">
              <w:t xml:space="preserve">Overleggen ontwerp-besluit tot aanwijzing Natura 2000-gebied </w:t>
            </w:r>
            <w:r w:rsidR="00CE6F2A" w:rsidRPr="00AB2172">
              <w:t>aan beide kamers der Staten-Generaal</w:t>
            </w:r>
            <w:r w:rsidRPr="00AB2172">
              <w:t xml:space="preserve"> </w:t>
            </w:r>
            <w:r w:rsidR="00D44FD3" w:rsidRPr="00AB2172">
              <w:t xml:space="preserve">indien gelegen binnen exclusieve economische zone </w:t>
            </w:r>
            <w:r w:rsidR="00E42652" w:rsidRPr="00AB2172">
              <w:t>(art. 23.5a lid 2 Ow)</w:t>
            </w:r>
          </w:p>
        </w:tc>
        <w:tc>
          <w:tcPr>
            <w:tcW w:w="1625" w:type="pct"/>
          </w:tcPr>
          <w:p w14:paraId="2E87A01F" w14:textId="5BFFD76F" w:rsidR="000E3822" w:rsidRPr="00AB2172" w:rsidRDefault="00657A3F" w:rsidP="00657A3F">
            <w:r w:rsidRPr="00AB2172">
              <w:t xml:space="preserve">Toepassen afdeling 3.4 Awb </w:t>
            </w:r>
            <w:r w:rsidR="00D8514E" w:rsidRPr="00AB2172">
              <w:t xml:space="preserve">niet </w:t>
            </w:r>
            <w:r w:rsidRPr="00AB2172">
              <w:t>verplicht</w:t>
            </w:r>
          </w:p>
        </w:tc>
      </w:tr>
      <w:tr w:rsidR="000E3822" w:rsidRPr="00AB2172" w14:paraId="0BA06C1D" w14:textId="77777777" w:rsidTr="00070AD5">
        <w:tc>
          <w:tcPr>
            <w:tcW w:w="1749" w:type="pct"/>
          </w:tcPr>
          <w:p w14:paraId="24F7FFAB" w14:textId="607CEFB4" w:rsidR="000E3822" w:rsidRPr="00AB2172" w:rsidRDefault="000E3822" w:rsidP="009F5482">
            <w:r w:rsidRPr="00AB2172">
              <w:t>Wijze van bekendmaking</w:t>
            </w:r>
          </w:p>
        </w:tc>
        <w:tc>
          <w:tcPr>
            <w:tcW w:w="1625" w:type="pct"/>
          </w:tcPr>
          <w:p w14:paraId="7BC686C6" w14:textId="28A772E6" w:rsidR="000E3822" w:rsidRPr="00AB2172" w:rsidRDefault="009D3C3A" w:rsidP="009F5482">
            <w:pPr>
              <w:rPr>
                <w:szCs w:val="18"/>
              </w:rPr>
            </w:pPr>
            <w:r w:rsidRPr="00AB2172">
              <w:rPr>
                <w:szCs w:val="18"/>
              </w:rPr>
              <w:t xml:space="preserve">Bekendmaking door plaatsing van het volledige besluit in </w:t>
            </w:r>
            <w:r w:rsidR="00280CC5" w:rsidRPr="00AB2172">
              <w:rPr>
                <w:szCs w:val="18"/>
              </w:rPr>
              <w:t>de Staatscourant</w:t>
            </w:r>
          </w:p>
        </w:tc>
        <w:tc>
          <w:tcPr>
            <w:tcW w:w="1625" w:type="pct"/>
          </w:tcPr>
          <w:p w14:paraId="59181312" w14:textId="10EBABAE" w:rsidR="000E3822" w:rsidRPr="00AB2172" w:rsidRDefault="00A54D82" w:rsidP="009F5482">
            <w:pPr>
              <w:rPr>
                <w:szCs w:val="18"/>
              </w:rPr>
            </w:pPr>
            <w:r w:rsidRPr="00AB2172">
              <w:rPr>
                <w:szCs w:val="18"/>
              </w:rPr>
              <w:t>Bekendmaking door plaatsing van het volledige besluit in het elektronisch publicatieblad van het bestuursorgaan dat het besluit heeft genomen</w:t>
            </w:r>
          </w:p>
        </w:tc>
      </w:tr>
      <w:tr w:rsidR="000E3822" w:rsidRPr="00AB2172" w14:paraId="792BE19E" w14:textId="77777777" w:rsidTr="00070AD5">
        <w:tc>
          <w:tcPr>
            <w:tcW w:w="1749" w:type="pct"/>
          </w:tcPr>
          <w:p w14:paraId="208EE401" w14:textId="60B73773" w:rsidR="000E3822" w:rsidRPr="00AB2172" w:rsidRDefault="000E3822" w:rsidP="009F5482">
            <w:r w:rsidRPr="00AB2172">
              <w:lastRenderedPageBreak/>
              <w:t>Tijdstip inwerkingtreding</w:t>
            </w:r>
          </w:p>
        </w:tc>
        <w:tc>
          <w:tcPr>
            <w:tcW w:w="1625" w:type="pct"/>
          </w:tcPr>
          <w:p w14:paraId="23D1FF3E" w14:textId="0C987300" w:rsidR="000E3822" w:rsidRPr="00AB2172" w:rsidRDefault="00675352" w:rsidP="009F5482">
            <w:pPr>
              <w:rPr>
                <w:szCs w:val="18"/>
              </w:rPr>
            </w:pPr>
            <w:r w:rsidRPr="00AB2172">
              <w:rPr>
                <w:szCs w:val="18"/>
              </w:rPr>
              <w:t xml:space="preserve">Het </w:t>
            </w:r>
            <w:r w:rsidR="00E45B86">
              <w:rPr>
                <w:szCs w:val="18"/>
              </w:rPr>
              <w:t>a</w:t>
            </w:r>
            <w:r w:rsidRPr="00AB2172">
              <w:rPr>
                <w:szCs w:val="18"/>
              </w:rPr>
              <w:t>anwijzingsbesluit treedt in werking na bekendmaking</w:t>
            </w:r>
          </w:p>
        </w:tc>
        <w:tc>
          <w:tcPr>
            <w:tcW w:w="1625" w:type="pct"/>
          </w:tcPr>
          <w:p w14:paraId="012B6770" w14:textId="7D788AFC" w:rsidR="000E3822" w:rsidRPr="00AB2172" w:rsidRDefault="00675352" w:rsidP="009F5482">
            <w:pPr>
              <w:rPr>
                <w:szCs w:val="18"/>
              </w:rPr>
            </w:pPr>
            <w:r w:rsidRPr="00AB2172">
              <w:rPr>
                <w:szCs w:val="18"/>
              </w:rPr>
              <w:t xml:space="preserve">Het </w:t>
            </w:r>
            <w:r w:rsidR="00C70920">
              <w:rPr>
                <w:szCs w:val="18"/>
              </w:rPr>
              <w:t>toegangsbeperkingsbesluit</w:t>
            </w:r>
            <w:r w:rsidRPr="00AB2172">
              <w:rPr>
                <w:szCs w:val="18"/>
              </w:rPr>
              <w:t xml:space="preserve"> treedt in werking na bekendmaking</w:t>
            </w:r>
          </w:p>
        </w:tc>
      </w:tr>
      <w:tr w:rsidR="000E3822" w:rsidRPr="00AB2172" w14:paraId="0DEB0C81" w14:textId="77777777" w:rsidTr="00070AD5">
        <w:tc>
          <w:tcPr>
            <w:tcW w:w="1749" w:type="pct"/>
          </w:tcPr>
          <w:p w14:paraId="237B5181" w14:textId="77777777" w:rsidR="000E3822" w:rsidRPr="00AB2172" w:rsidRDefault="000E3822" w:rsidP="009F5482">
            <w:r w:rsidRPr="00AB2172">
              <w:t>Rechtsbescherming</w:t>
            </w:r>
          </w:p>
        </w:tc>
        <w:tc>
          <w:tcPr>
            <w:tcW w:w="1625" w:type="pct"/>
          </w:tcPr>
          <w:p w14:paraId="72937735" w14:textId="2F1E4C42" w:rsidR="000E3822" w:rsidRPr="00AB2172" w:rsidRDefault="00431E69" w:rsidP="009F5482">
            <w:pPr>
              <w:rPr>
                <w:szCs w:val="18"/>
              </w:rPr>
            </w:pPr>
            <w:r w:rsidRPr="00AB2172">
              <w:rPr>
                <w:szCs w:val="18"/>
              </w:rPr>
              <w:t>Bezwaar</w:t>
            </w:r>
            <w:r w:rsidR="00845A08" w:rsidRPr="00AB2172">
              <w:rPr>
                <w:rStyle w:val="Voetnootmarkering"/>
                <w:szCs w:val="18"/>
              </w:rPr>
              <w:footnoteReference w:id="7"/>
            </w:r>
            <w:r w:rsidRPr="00AB2172">
              <w:rPr>
                <w:szCs w:val="18"/>
              </w:rPr>
              <w:t>, beroep en hoger beroep</w:t>
            </w:r>
          </w:p>
        </w:tc>
        <w:tc>
          <w:tcPr>
            <w:tcW w:w="1625" w:type="pct"/>
          </w:tcPr>
          <w:p w14:paraId="4CF27E7B" w14:textId="44B1D2A0" w:rsidR="000E3822" w:rsidRPr="00AB2172" w:rsidRDefault="00B56206" w:rsidP="009F5482">
            <w:pPr>
              <w:rPr>
                <w:szCs w:val="18"/>
              </w:rPr>
            </w:pPr>
            <w:r w:rsidRPr="00AB2172">
              <w:rPr>
                <w:szCs w:val="18"/>
              </w:rPr>
              <w:t>Bezwaar</w:t>
            </w:r>
            <w:r w:rsidR="00C57A1F" w:rsidRPr="00AB2172">
              <w:rPr>
                <w:rStyle w:val="Voetnootmarkering"/>
                <w:szCs w:val="18"/>
              </w:rPr>
              <w:footnoteReference w:id="8"/>
            </w:r>
            <w:r w:rsidRPr="00AB2172">
              <w:rPr>
                <w:szCs w:val="18"/>
              </w:rPr>
              <w:t>, beroep en hoger beroep</w:t>
            </w:r>
          </w:p>
        </w:tc>
      </w:tr>
      <w:tr w:rsidR="000E3822" w:rsidRPr="00AB2172" w14:paraId="2682BEBF" w14:textId="77777777" w:rsidTr="00070AD5">
        <w:tc>
          <w:tcPr>
            <w:tcW w:w="1749" w:type="pct"/>
          </w:tcPr>
          <w:p w14:paraId="0D4B5FD9" w14:textId="77777777" w:rsidR="000E3822" w:rsidRPr="00AB2172" w:rsidRDefault="000E3822" w:rsidP="009F5482">
            <w:r w:rsidRPr="00AB2172">
              <w:t>Geldt toepassingsprofiel ook voor ontwerpbesluit</w:t>
            </w:r>
          </w:p>
        </w:tc>
        <w:tc>
          <w:tcPr>
            <w:tcW w:w="1625" w:type="pct"/>
          </w:tcPr>
          <w:p w14:paraId="4F7F8622" w14:textId="257BA9AD" w:rsidR="000E3822" w:rsidRPr="00AB2172" w:rsidRDefault="00595C69" w:rsidP="009F5482">
            <w:pPr>
              <w:rPr>
                <w:szCs w:val="18"/>
              </w:rPr>
            </w:pPr>
            <w:r w:rsidRPr="00AB2172">
              <w:rPr>
                <w:szCs w:val="18"/>
              </w:rPr>
              <w:t>J</w:t>
            </w:r>
            <w:r w:rsidR="009F0849" w:rsidRPr="00AB2172">
              <w:rPr>
                <w:szCs w:val="18"/>
              </w:rPr>
              <w:t>a</w:t>
            </w:r>
          </w:p>
        </w:tc>
        <w:tc>
          <w:tcPr>
            <w:tcW w:w="1625" w:type="pct"/>
          </w:tcPr>
          <w:p w14:paraId="1FA8B70A" w14:textId="151A3B1E" w:rsidR="000E3822" w:rsidRPr="00AB2172" w:rsidRDefault="007C3AA3" w:rsidP="009F5482">
            <w:pPr>
              <w:rPr>
                <w:szCs w:val="18"/>
              </w:rPr>
            </w:pPr>
            <w:r w:rsidRPr="00AB2172">
              <w:rPr>
                <w:szCs w:val="18"/>
              </w:rPr>
              <w:t>Ja</w:t>
            </w:r>
          </w:p>
        </w:tc>
      </w:tr>
      <w:tr w:rsidR="000E3822" w:rsidRPr="00AB2172" w14:paraId="5C020F29" w14:textId="77777777" w:rsidTr="00070AD5">
        <w:tc>
          <w:tcPr>
            <w:tcW w:w="1749" w:type="pct"/>
          </w:tcPr>
          <w:p w14:paraId="00DC5D23" w14:textId="1031C74B" w:rsidR="000E3822" w:rsidRPr="00AB2172" w:rsidRDefault="000E3822" w:rsidP="009F5482">
            <w:r w:rsidRPr="00AB2172">
              <w:t xml:space="preserve">Rechtsfiguur roept meldingsplicht of vergunningplicht in het leven </w:t>
            </w:r>
          </w:p>
        </w:tc>
        <w:tc>
          <w:tcPr>
            <w:tcW w:w="1625" w:type="pct"/>
          </w:tcPr>
          <w:p w14:paraId="302906AC" w14:textId="7D04B71B" w:rsidR="000E3822" w:rsidRPr="00AB2172" w:rsidRDefault="0085097B" w:rsidP="009F5482">
            <w:pPr>
              <w:rPr>
                <w:szCs w:val="18"/>
              </w:rPr>
            </w:pPr>
            <w:r w:rsidRPr="00AB2172">
              <w:rPr>
                <w:szCs w:val="18"/>
              </w:rPr>
              <w:t>Nee</w:t>
            </w:r>
          </w:p>
        </w:tc>
        <w:tc>
          <w:tcPr>
            <w:tcW w:w="1625" w:type="pct"/>
          </w:tcPr>
          <w:p w14:paraId="20EDC096" w14:textId="29FD1DF4" w:rsidR="000E3822" w:rsidRPr="00AB2172" w:rsidRDefault="00A17247" w:rsidP="009F5482">
            <w:pPr>
              <w:rPr>
                <w:szCs w:val="18"/>
              </w:rPr>
            </w:pPr>
            <w:r w:rsidRPr="00AB2172">
              <w:rPr>
                <w:szCs w:val="18"/>
              </w:rPr>
              <w:t>Nee</w:t>
            </w:r>
          </w:p>
        </w:tc>
      </w:tr>
      <w:tr w:rsidR="000E3822" w:rsidRPr="00AB2172" w14:paraId="3BD1596C" w14:textId="77777777" w:rsidTr="00070AD5">
        <w:tc>
          <w:tcPr>
            <w:tcW w:w="1749" w:type="pct"/>
          </w:tcPr>
          <w:p w14:paraId="560C86FA" w14:textId="77777777" w:rsidR="000E3822" w:rsidRPr="00AB2172" w:rsidRDefault="000E3822" w:rsidP="009F5482">
            <w:r w:rsidRPr="00AB2172">
              <w:t>Rechtsfiguur bevat voor eenieder bindende regels</w:t>
            </w:r>
          </w:p>
        </w:tc>
        <w:tc>
          <w:tcPr>
            <w:tcW w:w="1625" w:type="pct"/>
          </w:tcPr>
          <w:p w14:paraId="4B810601" w14:textId="73B24FAA" w:rsidR="000E3822" w:rsidRPr="00AB2172" w:rsidRDefault="00A17247" w:rsidP="009F5482">
            <w:pPr>
              <w:rPr>
                <w:szCs w:val="18"/>
              </w:rPr>
            </w:pPr>
            <w:r w:rsidRPr="00AB2172">
              <w:rPr>
                <w:szCs w:val="18"/>
              </w:rPr>
              <w:t>Nee</w:t>
            </w:r>
            <w:r w:rsidR="004F45FC">
              <w:rPr>
                <w:rStyle w:val="Voetnootmarkering"/>
                <w:szCs w:val="18"/>
              </w:rPr>
              <w:footnoteReference w:id="9"/>
            </w:r>
          </w:p>
        </w:tc>
        <w:tc>
          <w:tcPr>
            <w:tcW w:w="1625" w:type="pct"/>
          </w:tcPr>
          <w:p w14:paraId="39A2F658" w14:textId="1FF3CB68" w:rsidR="000E3822" w:rsidRPr="00AB2172" w:rsidRDefault="00A17247" w:rsidP="009F5482">
            <w:pPr>
              <w:rPr>
                <w:szCs w:val="18"/>
              </w:rPr>
            </w:pPr>
            <w:r w:rsidRPr="00AB2172">
              <w:rPr>
                <w:szCs w:val="18"/>
              </w:rPr>
              <w:t>Ja</w:t>
            </w:r>
          </w:p>
        </w:tc>
      </w:tr>
    </w:tbl>
    <w:p w14:paraId="69605AB3" w14:textId="77777777" w:rsidR="00E33EDD" w:rsidRPr="00AB2172" w:rsidRDefault="00E33EDD" w:rsidP="00E33EDD">
      <w:pPr>
        <w:pStyle w:val="Tabeltitel"/>
      </w:pPr>
      <w:r w:rsidRPr="00AB2172">
        <w:t>Kenmerken ten behoeve van metadata en annotaties</w:t>
      </w:r>
    </w:p>
    <w:tbl>
      <w:tblPr>
        <w:tblStyle w:val="Tabel"/>
        <w:tblW w:w="5000" w:type="pct"/>
        <w:tblLayout w:type="fixed"/>
        <w:tblLook w:val="0620" w:firstRow="1" w:lastRow="0" w:firstColumn="0" w:lastColumn="0" w:noHBand="1" w:noVBand="1"/>
      </w:tblPr>
      <w:tblGrid>
        <w:gridCol w:w="2971"/>
        <w:gridCol w:w="2761"/>
        <w:gridCol w:w="2762"/>
      </w:tblGrid>
      <w:tr w:rsidR="0040019F" w:rsidRPr="00AB2172" w14:paraId="07CCD0DA" w14:textId="77777777" w:rsidTr="0040019F">
        <w:trPr>
          <w:cnfStyle w:val="100000000000" w:firstRow="1" w:lastRow="0" w:firstColumn="0" w:lastColumn="0" w:oddVBand="0" w:evenVBand="0" w:oddHBand="0" w:evenHBand="0" w:firstRowFirstColumn="0" w:firstRowLastColumn="0" w:lastRowFirstColumn="0" w:lastRowLastColumn="0"/>
          <w:tblHeader/>
        </w:trPr>
        <w:tc>
          <w:tcPr>
            <w:tcW w:w="1749" w:type="pct"/>
          </w:tcPr>
          <w:p w14:paraId="30847665" w14:textId="77777777" w:rsidR="0040019F" w:rsidRPr="00AB2172" w:rsidRDefault="0040019F" w:rsidP="0040019F">
            <w:r w:rsidRPr="00AB2172">
              <w:t>Onderwerp</w:t>
            </w:r>
          </w:p>
        </w:tc>
        <w:tc>
          <w:tcPr>
            <w:tcW w:w="1625" w:type="pct"/>
          </w:tcPr>
          <w:p w14:paraId="356E0831" w14:textId="34443E60" w:rsidR="0040019F" w:rsidRPr="00AB2172" w:rsidRDefault="0040019F" w:rsidP="0040019F">
            <w:pPr>
              <w:rPr>
                <w:b w:val="0"/>
              </w:rPr>
            </w:pPr>
            <w:r w:rsidRPr="00AB2172">
              <w:t xml:space="preserve">Specificatie </w:t>
            </w:r>
            <w:r w:rsidR="00B75BE1" w:rsidRPr="00AB2172">
              <w:t xml:space="preserve">voor </w:t>
            </w:r>
            <w:r w:rsidR="00E45B86">
              <w:t>a</w:t>
            </w:r>
            <w:r w:rsidRPr="00AB2172">
              <w:t>anwijzingsbesluit</w:t>
            </w:r>
          </w:p>
        </w:tc>
        <w:tc>
          <w:tcPr>
            <w:tcW w:w="1626" w:type="pct"/>
          </w:tcPr>
          <w:p w14:paraId="64BED3B6" w14:textId="7A5847D8" w:rsidR="0040019F" w:rsidRPr="00AB2172" w:rsidRDefault="0040019F" w:rsidP="0040019F">
            <w:r w:rsidRPr="00AB2172">
              <w:t xml:space="preserve">Specificatie </w:t>
            </w:r>
            <w:r w:rsidR="00B75BE1" w:rsidRPr="00AB2172">
              <w:t xml:space="preserve">voor </w:t>
            </w:r>
            <w:r w:rsidR="00C70920">
              <w:t>toegangsbeperkingsbesluit</w:t>
            </w:r>
          </w:p>
        </w:tc>
      </w:tr>
      <w:tr w:rsidR="0040019F" w:rsidRPr="00AB2172" w14:paraId="61D9610F" w14:textId="77777777" w:rsidTr="0040019F">
        <w:tc>
          <w:tcPr>
            <w:tcW w:w="1749" w:type="pct"/>
          </w:tcPr>
          <w:p w14:paraId="5774E59B" w14:textId="77777777" w:rsidR="0040019F" w:rsidRPr="00AB2172" w:rsidRDefault="0040019F" w:rsidP="009F5482">
            <w:r w:rsidRPr="00AB2172">
              <w:t>Bevoegde bestuurslaag</w:t>
            </w:r>
          </w:p>
        </w:tc>
        <w:tc>
          <w:tcPr>
            <w:tcW w:w="1625" w:type="pct"/>
          </w:tcPr>
          <w:p w14:paraId="01695E7D" w14:textId="2AF52CA1" w:rsidR="0040019F" w:rsidRPr="00AB2172" w:rsidRDefault="00ED165A" w:rsidP="008E0FE5">
            <w:pPr>
              <w:rPr>
                <w:rFonts w:eastAsia="Verdana"/>
              </w:rPr>
            </w:pPr>
            <w:r w:rsidRPr="00AB2172">
              <w:rPr>
                <w:rFonts w:eastAsia="Verdana"/>
              </w:rPr>
              <w:t>Rijk</w:t>
            </w:r>
          </w:p>
        </w:tc>
        <w:tc>
          <w:tcPr>
            <w:tcW w:w="1626" w:type="pct"/>
          </w:tcPr>
          <w:p w14:paraId="03C619D3" w14:textId="3C261671" w:rsidR="0040019F" w:rsidRPr="00AB2172" w:rsidRDefault="00ED165A" w:rsidP="008E0FE5">
            <w:pPr>
              <w:rPr>
                <w:rFonts w:eastAsia="Verdana"/>
              </w:rPr>
            </w:pPr>
            <w:r w:rsidRPr="00AB2172">
              <w:rPr>
                <w:rFonts w:eastAsia="Verdana"/>
              </w:rPr>
              <w:t xml:space="preserve">Provincie </w:t>
            </w:r>
            <w:r w:rsidR="000E0503" w:rsidRPr="00AB2172">
              <w:rPr>
                <w:rFonts w:eastAsia="Verdana"/>
              </w:rPr>
              <w:t>resp.</w:t>
            </w:r>
            <w:r w:rsidRPr="00AB2172">
              <w:rPr>
                <w:rFonts w:eastAsia="Verdana"/>
              </w:rPr>
              <w:t xml:space="preserve"> Rijk</w:t>
            </w:r>
          </w:p>
        </w:tc>
      </w:tr>
      <w:tr w:rsidR="0040019F" w:rsidRPr="00AB2172" w14:paraId="4DAC9864" w14:textId="77777777" w:rsidTr="0040019F">
        <w:tc>
          <w:tcPr>
            <w:tcW w:w="1749" w:type="pct"/>
          </w:tcPr>
          <w:p w14:paraId="6B6D5922" w14:textId="77777777" w:rsidR="0040019F" w:rsidRPr="00AB2172" w:rsidRDefault="0040019F" w:rsidP="009F5482">
            <w:r w:rsidRPr="00AB2172">
              <w:t>Bestuursorgaan</w:t>
            </w:r>
          </w:p>
        </w:tc>
        <w:tc>
          <w:tcPr>
            <w:tcW w:w="1625" w:type="pct"/>
          </w:tcPr>
          <w:p w14:paraId="2D47483A" w14:textId="308A0BBA" w:rsidR="0040019F" w:rsidRPr="00AB2172" w:rsidRDefault="000E0503" w:rsidP="006D0A88">
            <w:pPr>
              <w:rPr>
                <w:rFonts w:eastAsia="Verdana"/>
              </w:rPr>
            </w:pPr>
            <w:r w:rsidRPr="00AB2172">
              <w:rPr>
                <w:rFonts w:eastAsia="Verdana"/>
              </w:rPr>
              <w:t>M</w:t>
            </w:r>
            <w:r w:rsidR="00D05C4B" w:rsidRPr="00AB2172">
              <w:rPr>
                <w:rFonts w:eastAsia="Verdana"/>
              </w:rPr>
              <w:t>inister</w:t>
            </w:r>
          </w:p>
        </w:tc>
        <w:tc>
          <w:tcPr>
            <w:tcW w:w="1626" w:type="pct"/>
          </w:tcPr>
          <w:p w14:paraId="556CE57C" w14:textId="0808E78C" w:rsidR="0040019F" w:rsidRPr="00AB2172" w:rsidRDefault="00D05C4B" w:rsidP="006D0A88">
            <w:pPr>
              <w:rPr>
                <w:rFonts w:eastAsia="Verdana"/>
              </w:rPr>
            </w:pPr>
            <w:r w:rsidRPr="00AB2172">
              <w:rPr>
                <w:rFonts w:eastAsia="Verdana"/>
              </w:rPr>
              <w:t xml:space="preserve">GS </w:t>
            </w:r>
            <w:r w:rsidR="000E0503" w:rsidRPr="00AB2172">
              <w:rPr>
                <w:rFonts w:eastAsia="Verdana"/>
              </w:rPr>
              <w:t>resp. minister</w:t>
            </w:r>
          </w:p>
        </w:tc>
      </w:tr>
      <w:tr w:rsidR="0040019F" w:rsidRPr="00AB2172" w14:paraId="59BF5ED5" w14:textId="77777777" w:rsidTr="0040019F">
        <w:tc>
          <w:tcPr>
            <w:tcW w:w="1749" w:type="pct"/>
          </w:tcPr>
          <w:p w14:paraId="715F2611" w14:textId="77777777" w:rsidR="0040019F" w:rsidRPr="00AB2172" w:rsidRDefault="0040019F" w:rsidP="009F5482">
            <w:pPr>
              <w:rPr>
                <w:rFonts w:eastAsia="Verdana" w:cs="Verdana"/>
              </w:rPr>
            </w:pPr>
            <w:r w:rsidRPr="00AB2172">
              <w:t>Omgevingsdocument kan rechtstreeks ander omgevingsdocument wijzigen (meervoudig bronhouderschap</w:t>
            </w:r>
            <w:r w:rsidRPr="00AB2172">
              <w:rPr>
                <w:rStyle w:val="Voetnootmarkering"/>
              </w:rPr>
              <w:footnoteReference w:id="10"/>
            </w:r>
            <w:r w:rsidRPr="00AB2172">
              <w:t>)</w:t>
            </w:r>
          </w:p>
        </w:tc>
        <w:tc>
          <w:tcPr>
            <w:tcW w:w="1625" w:type="pct"/>
          </w:tcPr>
          <w:p w14:paraId="780D1ADB" w14:textId="78CE50BD" w:rsidR="0040019F" w:rsidRPr="00AB2172" w:rsidRDefault="000E0503" w:rsidP="009F5482">
            <w:r w:rsidRPr="00AB2172">
              <w:t>Nee</w:t>
            </w:r>
          </w:p>
        </w:tc>
        <w:tc>
          <w:tcPr>
            <w:tcW w:w="1626" w:type="pct"/>
          </w:tcPr>
          <w:p w14:paraId="6A445009" w14:textId="2E25D68A" w:rsidR="0040019F" w:rsidRPr="00AB2172" w:rsidRDefault="000E0503" w:rsidP="009F5482">
            <w:r w:rsidRPr="00AB2172">
              <w:t>Nee</w:t>
            </w:r>
          </w:p>
        </w:tc>
      </w:tr>
      <w:tr w:rsidR="0040019F" w:rsidRPr="00AB2172" w14:paraId="6948DB6A" w14:textId="77777777" w:rsidTr="0040019F">
        <w:tc>
          <w:tcPr>
            <w:tcW w:w="1749" w:type="pct"/>
          </w:tcPr>
          <w:p w14:paraId="1DA5EAFF" w14:textId="77777777" w:rsidR="0040019F" w:rsidRPr="00AB2172" w:rsidRDefault="0040019F" w:rsidP="009F5482">
            <w:pPr>
              <w:rPr>
                <w:rFonts w:eastAsia="Verdana" w:cs="Verdana"/>
              </w:rPr>
            </w:pPr>
            <w:r w:rsidRPr="00AB2172">
              <w:t>Ander omgevingsdocument kan rechtstreeks onderhavig omgevingsdocument wijzigen (meervoudig bronhouderschap</w:t>
            </w:r>
            <w:r w:rsidRPr="00AB2172">
              <w:rPr>
                <w:rStyle w:val="Voetnootmarkering"/>
              </w:rPr>
              <w:footnoteReference w:id="11"/>
            </w:r>
            <w:r w:rsidRPr="00AB2172">
              <w:t>)</w:t>
            </w:r>
          </w:p>
        </w:tc>
        <w:tc>
          <w:tcPr>
            <w:tcW w:w="1625" w:type="pct"/>
          </w:tcPr>
          <w:p w14:paraId="3C8C8365" w14:textId="0CBBC6F5" w:rsidR="0040019F" w:rsidRPr="00AB2172" w:rsidRDefault="000E0503" w:rsidP="006D0A88">
            <w:pPr>
              <w:rPr>
                <w:rFonts w:eastAsia="Verdana"/>
              </w:rPr>
            </w:pPr>
            <w:r w:rsidRPr="00AB2172">
              <w:rPr>
                <w:rFonts w:eastAsia="Verdana"/>
              </w:rPr>
              <w:t>Nee</w:t>
            </w:r>
          </w:p>
        </w:tc>
        <w:tc>
          <w:tcPr>
            <w:tcW w:w="1626" w:type="pct"/>
          </w:tcPr>
          <w:p w14:paraId="458A64C6" w14:textId="2BCE4542" w:rsidR="0040019F" w:rsidRPr="00AB2172" w:rsidRDefault="000E0503" w:rsidP="006D0A88">
            <w:pPr>
              <w:rPr>
                <w:rFonts w:eastAsia="Verdana"/>
              </w:rPr>
            </w:pPr>
            <w:r w:rsidRPr="00AB2172">
              <w:rPr>
                <w:rFonts w:eastAsia="Verdana"/>
              </w:rPr>
              <w:t>Nee</w:t>
            </w:r>
          </w:p>
        </w:tc>
      </w:tr>
      <w:tr w:rsidR="0040019F" w:rsidRPr="00AB2172" w14:paraId="50A948E8" w14:textId="77777777" w:rsidTr="0040019F">
        <w:tc>
          <w:tcPr>
            <w:tcW w:w="1749" w:type="pct"/>
          </w:tcPr>
          <w:p w14:paraId="2B166965" w14:textId="77777777" w:rsidR="0040019F" w:rsidRPr="00AB2172" w:rsidRDefault="0040019F" w:rsidP="009F5482">
            <w:pPr>
              <w:rPr>
                <w:color w:val="000000" w:themeColor="text1"/>
              </w:rPr>
            </w:pPr>
            <w:r w:rsidRPr="00AB2172">
              <w:lastRenderedPageBreak/>
              <w:t>Rechtsfiguur kan gewijzigd worden door wijzigingsbesluiten</w:t>
            </w:r>
          </w:p>
        </w:tc>
        <w:tc>
          <w:tcPr>
            <w:tcW w:w="1625" w:type="pct"/>
          </w:tcPr>
          <w:p w14:paraId="49AC0D0F" w14:textId="7762A7A2" w:rsidR="0040019F" w:rsidRPr="00AB2172" w:rsidRDefault="000E0503" w:rsidP="009F5482">
            <w:pPr>
              <w:rPr>
                <w:color w:val="000000" w:themeColor="text1"/>
              </w:rPr>
            </w:pPr>
            <w:r w:rsidRPr="00AB2172">
              <w:rPr>
                <w:color w:val="000000" w:themeColor="text1"/>
              </w:rPr>
              <w:t>Ja</w:t>
            </w:r>
          </w:p>
        </w:tc>
        <w:tc>
          <w:tcPr>
            <w:tcW w:w="1626" w:type="pct"/>
          </w:tcPr>
          <w:p w14:paraId="15D61326" w14:textId="2C370593" w:rsidR="0040019F" w:rsidRPr="00AB2172" w:rsidRDefault="000E0503" w:rsidP="009F5482">
            <w:pPr>
              <w:rPr>
                <w:color w:val="000000" w:themeColor="text1"/>
              </w:rPr>
            </w:pPr>
            <w:r w:rsidRPr="00AB2172">
              <w:rPr>
                <w:color w:val="000000" w:themeColor="text1"/>
              </w:rPr>
              <w:t>Ja</w:t>
            </w:r>
          </w:p>
        </w:tc>
      </w:tr>
    </w:tbl>
    <w:p w14:paraId="428C8C0E" w14:textId="77777777" w:rsidR="00E33EDD" w:rsidRPr="00AB2172" w:rsidRDefault="00E33EDD" w:rsidP="00E33EDD">
      <w:pPr>
        <w:pStyle w:val="Tabeltitel"/>
      </w:pPr>
      <w:bookmarkStart w:id="83" w:name="_Ref_b3a27f694ef894a0d3a8dbbf1852ab11_2"/>
      <w:r w:rsidRPr="00AB2172">
        <w:t>Vergelijking met huidige rechtsfiguren en RO Standaarden</w:t>
      </w:r>
      <w:bookmarkEnd w:id="83"/>
    </w:p>
    <w:tbl>
      <w:tblPr>
        <w:tblStyle w:val="Tabel"/>
        <w:tblW w:w="5000" w:type="pct"/>
        <w:tblLayout w:type="fixed"/>
        <w:tblLook w:val="0620" w:firstRow="1" w:lastRow="0" w:firstColumn="0" w:lastColumn="0" w:noHBand="1" w:noVBand="1"/>
      </w:tblPr>
      <w:tblGrid>
        <w:gridCol w:w="2972"/>
        <w:gridCol w:w="2761"/>
        <w:gridCol w:w="2761"/>
      </w:tblGrid>
      <w:tr w:rsidR="0040019F" w:rsidRPr="00AB2172" w14:paraId="118548FD" w14:textId="77777777" w:rsidTr="0040019F">
        <w:trPr>
          <w:cnfStyle w:val="100000000000" w:firstRow="1" w:lastRow="0" w:firstColumn="0" w:lastColumn="0" w:oddVBand="0" w:evenVBand="0" w:oddHBand="0" w:evenHBand="0" w:firstRowFirstColumn="0" w:firstRowLastColumn="0" w:lastRowFirstColumn="0" w:lastRowLastColumn="0"/>
          <w:tblHeader/>
        </w:trPr>
        <w:tc>
          <w:tcPr>
            <w:tcW w:w="1749" w:type="pct"/>
          </w:tcPr>
          <w:p w14:paraId="24E5CEC5" w14:textId="77777777" w:rsidR="0040019F" w:rsidRPr="00AB2172" w:rsidRDefault="0040019F" w:rsidP="0040019F">
            <w:r w:rsidRPr="00AB2172">
              <w:t>Onderwerp</w:t>
            </w:r>
          </w:p>
        </w:tc>
        <w:tc>
          <w:tcPr>
            <w:tcW w:w="1625" w:type="pct"/>
          </w:tcPr>
          <w:p w14:paraId="65DD16DE" w14:textId="43ABBAEF" w:rsidR="0040019F" w:rsidRPr="00AB2172" w:rsidRDefault="0040019F" w:rsidP="0040019F">
            <w:r w:rsidRPr="00AB2172">
              <w:t xml:space="preserve">Specificatie </w:t>
            </w:r>
            <w:r w:rsidR="008C7C28">
              <w:t>a</w:t>
            </w:r>
            <w:r w:rsidRPr="00AB2172">
              <w:t>anwijzingsbesluit</w:t>
            </w:r>
          </w:p>
        </w:tc>
        <w:tc>
          <w:tcPr>
            <w:tcW w:w="1625" w:type="pct"/>
          </w:tcPr>
          <w:p w14:paraId="1F3A1005" w14:textId="6BD7973A" w:rsidR="0040019F" w:rsidRPr="00AB2172" w:rsidRDefault="0040019F" w:rsidP="0040019F">
            <w:r w:rsidRPr="00AB2172">
              <w:t xml:space="preserve">Specificatie </w:t>
            </w:r>
            <w:r w:rsidR="00C70920">
              <w:t>toegangsbeperkingsbesluit</w:t>
            </w:r>
          </w:p>
        </w:tc>
      </w:tr>
      <w:tr w:rsidR="0040019F" w:rsidRPr="00AB2172" w14:paraId="10DE6C6E" w14:textId="77777777" w:rsidTr="0040019F">
        <w:tc>
          <w:tcPr>
            <w:tcW w:w="1749" w:type="pct"/>
          </w:tcPr>
          <w:p w14:paraId="414DDC17" w14:textId="77777777" w:rsidR="0040019F" w:rsidRPr="00AB2172" w:rsidRDefault="0040019F" w:rsidP="00614CE9">
            <w:pPr>
              <w:rPr>
                <w:color w:val="000000" w:themeColor="text1"/>
              </w:rPr>
            </w:pPr>
            <w:r w:rsidRPr="00AB2172">
              <w:t>Vergelijkbaar met / voortzetting van huidige rechtsfiguur</w:t>
            </w:r>
          </w:p>
        </w:tc>
        <w:tc>
          <w:tcPr>
            <w:tcW w:w="1625" w:type="pct"/>
          </w:tcPr>
          <w:p w14:paraId="423E0A40" w14:textId="0FCE777F" w:rsidR="0040019F" w:rsidRPr="00AB2172" w:rsidRDefault="00944D72" w:rsidP="00D00483">
            <w:pPr>
              <w:rPr>
                <w:rFonts w:eastAsia="Verdana"/>
              </w:rPr>
            </w:pPr>
            <w:r w:rsidRPr="00AB2172">
              <w:rPr>
                <w:rFonts w:eastAsia="Verdana"/>
              </w:rPr>
              <w:t xml:space="preserve">Besluit tot aanwijzing van Natura 2000-gebieden </w:t>
            </w:r>
            <w:r w:rsidR="00560649" w:rsidRPr="00AB2172">
              <w:rPr>
                <w:rFonts w:eastAsia="Verdana"/>
              </w:rPr>
              <w:t>o.g.v. art. 2.1 Wet natuurbescherming</w:t>
            </w:r>
          </w:p>
        </w:tc>
        <w:tc>
          <w:tcPr>
            <w:tcW w:w="1625" w:type="pct"/>
          </w:tcPr>
          <w:p w14:paraId="1948973B" w14:textId="79E47B27" w:rsidR="0040019F" w:rsidRPr="00AB2172" w:rsidRDefault="00944D72" w:rsidP="00D00483">
            <w:pPr>
              <w:rPr>
                <w:rFonts w:eastAsia="Verdana"/>
              </w:rPr>
            </w:pPr>
            <w:r w:rsidRPr="00AB2172">
              <w:rPr>
                <w:rFonts w:eastAsia="Verdana"/>
              </w:rPr>
              <w:t>Besluit tot beperking van de toegang tot een Natura 2000-gebied</w:t>
            </w:r>
            <w:r w:rsidR="00C7585E" w:rsidRPr="00AB2172">
              <w:rPr>
                <w:rFonts w:eastAsia="Verdana"/>
              </w:rPr>
              <w:t xml:space="preserve"> o.g.v. art. 2.5 </w:t>
            </w:r>
            <w:r w:rsidR="000A2EA7" w:rsidRPr="00AB2172">
              <w:rPr>
                <w:rFonts w:eastAsia="Verdana"/>
              </w:rPr>
              <w:t xml:space="preserve">en 2.10 </w:t>
            </w:r>
            <w:r w:rsidR="00C7585E" w:rsidRPr="00AB2172">
              <w:rPr>
                <w:rFonts w:eastAsia="Verdana"/>
              </w:rPr>
              <w:t>Wet natuurbescherming</w:t>
            </w:r>
          </w:p>
        </w:tc>
      </w:tr>
      <w:tr w:rsidR="0040019F" w:rsidRPr="00AB2172" w14:paraId="741D82CA" w14:textId="77777777" w:rsidTr="0040019F">
        <w:tc>
          <w:tcPr>
            <w:tcW w:w="1749" w:type="pct"/>
          </w:tcPr>
          <w:p w14:paraId="3FF28211" w14:textId="77777777" w:rsidR="0040019F" w:rsidRPr="00AB2172" w:rsidRDefault="0040019F" w:rsidP="00D00483">
            <w:pPr>
              <w:rPr>
                <w:color w:val="000000" w:themeColor="text1"/>
              </w:rPr>
            </w:pPr>
            <w:r w:rsidRPr="00AB2172">
              <w:rPr>
                <w:shd w:val="clear" w:color="auto" w:fill="FFFFFF"/>
              </w:rPr>
              <w:t>Voortzetting van instrument in RO Standaarden</w:t>
            </w:r>
          </w:p>
        </w:tc>
        <w:tc>
          <w:tcPr>
            <w:tcW w:w="1625" w:type="pct"/>
          </w:tcPr>
          <w:p w14:paraId="11CE9E66" w14:textId="44F2F75D" w:rsidR="0040019F" w:rsidRPr="00AB2172" w:rsidRDefault="004D56DD" w:rsidP="00D00483">
            <w:pPr>
              <w:rPr>
                <w:color w:val="000000" w:themeColor="text1"/>
                <w:szCs w:val="18"/>
              </w:rPr>
            </w:pPr>
            <w:r w:rsidRPr="00AB2172">
              <w:rPr>
                <w:color w:val="000000" w:themeColor="text1"/>
                <w:szCs w:val="18"/>
              </w:rPr>
              <w:t>Nee</w:t>
            </w:r>
          </w:p>
        </w:tc>
        <w:tc>
          <w:tcPr>
            <w:tcW w:w="1625" w:type="pct"/>
          </w:tcPr>
          <w:p w14:paraId="5574924D" w14:textId="6F51CFB9" w:rsidR="0040019F" w:rsidRPr="00AB2172" w:rsidRDefault="004D56DD" w:rsidP="00D00483">
            <w:pPr>
              <w:rPr>
                <w:color w:val="000000" w:themeColor="text1"/>
                <w:szCs w:val="18"/>
              </w:rPr>
            </w:pPr>
            <w:r w:rsidRPr="00AB2172">
              <w:rPr>
                <w:color w:val="000000" w:themeColor="text1"/>
                <w:szCs w:val="18"/>
              </w:rPr>
              <w:t>Nee</w:t>
            </w:r>
          </w:p>
        </w:tc>
      </w:tr>
      <w:tr w:rsidR="0040019F" w:rsidRPr="00AB2172" w14:paraId="7678592D" w14:textId="77777777" w:rsidTr="0040019F">
        <w:tc>
          <w:tcPr>
            <w:tcW w:w="1749" w:type="pct"/>
          </w:tcPr>
          <w:p w14:paraId="2B2F7206" w14:textId="77777777" w:rsidR="0040019F" w:rsidRPr="00AB2172" w:rsidRDefault="0040019F" w:rsidP="00D00483">
            <w:pPr>
              <w:rPr>
                <w:shd w:val="clear" w:color="auto" w:fill="FFFFFF"/>
              </w:rPr>
            </w:pPr>
            <w:r w:rsidRPr="00AB2172">
              <w:rPr>
                <w:shd w:val="clear" w:color="auto" w:fill="FFFFFF"/>
              </w:rPr>
              <w:t>INSPIRE-thema</w:t>
            </w:r>
          </w:p>
        </w:tc>
        <w:tc>
          <w:tcPr>
            <w:tcW w:w="1625" w:type="pct"/>
          </w:tcPr>
          <w:p w14:paraId="3B495070" w14:textId="2F16F882" w:rsidR="0040019F" w:rsidRPr="00AB2172" w:rsidRDefault="00E47E91" w:rsidP="00D00483">
            <w:pPr>
              <w:rPr>
                <w:color w:val="000000" w:themeColor="text1"/>
              </w:rPr>
            </w:pPr>
            <w:r>
              <w:rPr>
                <w:color w:val="000000" w:themeColor="text1"/>
              </w:rPr>
              <w:t>Protected Sites</w:t>
            </w:r>
          </w:p>
        </w:tc>
        <w:tc>
          <w:tcPr>
            <w:tcW w:w="1625" w:type="pct"/>
          </w:tcPr>
          <w:p w14:paraId="563626B9" w14:textId="34AD4377" w:rsidR="0040019F" w:rsidRPr="00AB2172" w:rsidRDefault="00E47E91" w:rsidP="00D00483">
            <w:pPr>
              <w:rPr>
                <w:color w:val="000000" w:themeColor="text1"/>
                <w:szCs w:val="18"/>
              </w:rPr>
            </w:pPr>
            <w:r w:rsidRPr="00E47E91">
              <w:rPr>
                <w:color w:val="000000" w:themeColor="text1"/>
                <w:szCs w:val="18"/>
              </w:rPr>
              <w:t>Protected Sites</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