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9CFB7" w14:textId="2EFDA21D" w:rsidR="00530AEA" w:rsidRPr="00AB2172" w:rsidRDefault="00530AEA" w:rsidP="004E1E61">
      <w:pPr>
        <w:pStyle w:val="Kop5"/>
      </w:pPr>
      <w:r w:rsidRPr="00AB2172">
        <w:t>Besluit tot aanwijzing van Natura 2000-gebieden</w:t>
      </w:r>
    </w:p>
    <w:p w14:paraId="0BD1ADE5" w14:textId="3D31659F" w:rsidR="00C803C1" w:rsidRPr="00AB2172" w:rsidRDefault="00C803C1" w:rsidP="00E33EDD">
      <w:r w:rsidRPr="00AB2172">
        <w:t xml:space="preserve">Vanaf het begin van het proces om te komen tot een aanwijzingsbesluit </w:t>
      </w:r>
      <w:r w:rsidR="005453E5" w:rsidRPr="00AB2172">
        <w:t xml:space="preserve">betrekt het ministerie van LNV </w:t>
      </w:r>
      <w:r w:rsidRPr="00AB2172">
        <w:t>alle belanghebbenden (</w:t>
      </w:r>
      <w:r w:rsidR="00BD1850" w:rsidRPr="00AB2172">
        <w:t>medeoverheden</w:t>
      </w:r>
      <w:r w:rsidRPr="00AB2172">
        <w:t xml:space="preserve">, bewoners, bedrijven, recreanten, etc.) </w:t>
      </w:r>
      <w:r w:rsidR="00B01479" w:rsidRPr="00AB2172">
        <w:t xml:space="preserve">daar </w:t>
      </w:r>
      <w:r w:rsidRPr="00AB2172">
        <w:t xml:space="preserve">intensief </w:t>
      </w:r>
      <w:r w:rsidR="00B01479" w:rsidRPr="00AB2172">
        <w:t>bij</w:t>
      </w:r>
      <w:r w:rsidRPr="00AB2172">
        <w:t>.</w:t>
      </w:r>
    </w:p>
    <w:p w14:paraId="207168AF" w14:textId="51343DC9" w:rsidR="00B866C0" w:rsidRPr="00AB2172" w:rsidRDefault="002A07B2" w:rsidP="00A2480B">
      <w:r w:rsidRPr="00AB2172">
        <w:t xml:space="preserve">Wanneer het gaat om de voorgenomen aanwijzing van een Natura 2000-gebied op grond van de Habitatrichtlijn </w:t>
      </w:r>
      <w:r w:rsidR="002C2678" w:rsidRPr="00AB2172">
        <w:t xml:space="preserve">moet Nederland het gebied aanmelden </w:t>
      </w:r>
      <w:r w:rsidR="003D248D" w:rsidRPr="00AB2172">
        <w:t xml:space="preserve">bij de EU. </w:t>
      </w:r>
      <w:r w:rsidR="002845B4" w:rsidRPr="00AB2172">
        <w:t xml:space="preserve">Als het gaat om een </w:t>
      </w:r>
      <w:r w:rsidR="001643BC" w:rsidRPr="00AB2172">
        <w:t xml:space="preserve">voorstel voor een </w:t>
      </w:r>
      <w:r w:rsidR="006F2314" w:rsidRPr="00AB2172">
        <w:t>lijst</w:t>
      </w:r>
      <w:r w:rsidR="001643BC" w:rsidRPr="00AB2172">
        <w:t xml:space="preserve"> van Natura 2000-</w:t>
      </w:r>
      <w:r w:rsidR="002845B4" w:rsidRPr="00AB2172">
        <w:t>gebied</w:t>
      </w:r>
      <w:r w:rsidR="001643BC" w:rsidRPr="00AB2172">
        <w:t>en</w:t>
      </w:r>
      <w:r w:rsidR="00612156" w:rsidRPr="00AB2172">
        <w:t xml:space="preserve"> of een wijziging daarvan </w:t>
      </w:r>
      <w:r w:rsidR="002845B4" w:rsidRPr="00AB2172">
        <w:t>d</w:t>
      </w:r>
      <w:r w:rsidR="00D42EBC" w:rsidRPr="00AB2172">
        <w:t>ie</w:t>
      </w:r>
      <w:r w:rsidR="002845B4" w:rsidRPr="00AB2172">
        <w:t xml:space="preserve"> </w:t>
      </w:r>
      <w:r w:rsidR="00455CA7" w:rsidRPr="00AB2172">
        <w:t xml:space="preserve">geheel of gedeeltelijk </w:t>
      </w:r>
      <w:r w:rsidR="002845B4" w:rsidRPr="00AB2172">
        <w:t>lig</w:t>
      </w:r>
      <w:r w:rsidR="00D42EBC" w:rsidRPr="00AB2172">
        <w:t>gen</w:t>
      </w:r>
      <w:r w:rsidR="002845B4" w:rsidRPr="00AB2172">
        <w:t xml:space="preserve"> in de exclusieve economische zone</w:t>
      </w:r>
      <w:r w:rsidR="00D42EBC" w:rsidRPr="00AB2172">
        <w:t xml:space="preserve">, </w:t>
      </w:r>
      <w:r w:rsidR="001E53AD" w:rsidRPr="00AB2172">
        <w:t>moet</w:t>
      </w:r>
      <w:r w:rsidR="00D42EBC" w:rsidRPr="00AB2172">
        <w:t xml:space="preserve"> het ontwerp van dat voorstel eerst aan </w:t>
      </w:r>
      <w:r w:rsidR="00197121" w:rsidRPr="00AB2172">
        <w:t>beide kamers der Staten-Generaal</w:t>
      </w:r>
      <w:r w:rsidR="00C92CBC" w:rsidRPr="00AB2172">
        <w:t xml:space="preserve"> overgelegd worden</w:t>
      </w:r>
      <w:r w:rsidR="00460F90" w:rsidRPr="00AB2172">
        <w:t xml:space="preserve">; het voorstel voor de lijst wordt dan niet eerder dan </w:t>
      </w:r>
      <w:r w:rsidR="00124203" w:rsidRPr="00AB2172">
        <w:t xml:space="preserve">vier weken na </w:t>
      </w:r>
      <w:r w:rsidR="00AA0A02" w:rsidRPr="00AB2172">
        <w:t>overlegging</w:t>
      </w:r>
      <w:r w:rsidR="00124203" w:rsidRPr="00AB2172">
        <w:t xml:space="preserve"> aan de kamers aan de EU gezonden (art</w:t>
      </w:r>
      <w:r w:rsidR="00456217" w:rsidRPr="00AB2172">
        <w:t>ikel</w:t>
      </w:r>
      <w:r w:rsidR="00124203" w:rsidRPr="00AB2172">
        <w:t xml:space="preserve"> </w:t>
      </w:r>
      <w:r w:rsidR="00A2480B" w:rsidRPr="00AB2172">
        <w:t>23.5a</w:t>
      </w:r>
      <w:r w:rsidR="00456217" w:rsidRPr="00AB2172">
        <w:t xml:space="preserve"> lid 1</w:t>
      </w:r>
      <w:r w:rsidR="00A2480B" w:rsidRPr="00AB2172">
        <w:t xml:space="preserve"> Ow). De EU zet het gebied op </w:t>
      </w:r>
      <w:r w:rsidR="000B65FB" w:rsidRPr="00AB2172">
        <w:t xml:space="preserve">de </w:t>
      </w:r>
      <w:r w:rsidR="00A2480B" w:rsidRPr="00AB2172">
        <w:t xml:space="preserve">lijst van gebieden </w:t>
      </w:r>
      <w:r w:rsidR="000B65FB" w:rsidRPr="00AB2172">
        <w:t xml:space="preserve">van communautair belang </w:t>
      </w:r>
      <w:r w:rsidR="00A2480B" w:rsidRPr="00AB2172">
        <w:t xml:space="preserve">(de zogenaamde Communautaire lijst). Vanaf het moment van plaatsing op deze lijst geldt </w:t>
      </w:r>
      <w:r w:rsidR="00D372BD" w:rsidRPr="00AB2172">
        <w:t xml:space="preserve">voor het gebied </w:t>
      </w:r>
      <w:r w:rsidR="00A2480B" w:rsidRPr="00AB2172">
        <w:t xml:space="preserve">de bescherming van de Habitatrichtlijn. </w:t>
      </w:r>
      <w:r w:rsidR="003F7C81" w:rsidRPr="00AB2172">
        <w:t xml:space="preserve">De minister moet </w:t>
      </w:r>
      <w:r w:rsidR="00112672" w:rsidRPr="00AB2172">
        <w:t xml:space="preserve">nu </w:t>
      </w:r>
      <w:r w:rsidR="00A2480B" w:rsidRPr="00AB2172">
        <w:t>zo spoedig mogelijk, doch uiterlijk binnen zes jaar</w:t>
      </w:r>
      <w:r w:rsidR="0071134B" w:rsidRPr="00AB2172">
        <w:t>,</w:t>
      </w:r>
      <w:r w:rsidR="009528F7" w:rsidRPr="00AB2172">
        <w:t xml:space="preserve"> het gebied</w:t>
      </w:r>
      <w:r w:rsidR="00A2480B" w:rsidRPr="00AB2172">
        <w:t xml:space="preserve"> aan</w:t>
      </w:r>
      <w:r w:rsidR="00601B15" w:rsidRPr="00AB2172">
        <w:t>w</w:t>
      </w:r>
      <w:r w:rsidR="003F7C81" w:rsidRPr="00AB2172">
        <w:t>ij</w:t>
      </w:r>
      <w:r w:rsidR="00601B15" w:rsidRPr="00AB2172">
        <w:t xml:space="preserve">zen </w:t>
      </w:r>
      <w:r w:rsidR="00A2480B" w:rsidRPr="00AB2172">
        <w:t>als speciale beschermingszone en prioriteiten vast</w:t>
      </w:r>
      <w:r w:rsidR="009528F7" w:rsidRPr="00AB2172">
        <w:t>stellen</w:t>
      </w:r>
      <w:r w:rsidR="00A2480B" w:rsidRPr="00AB2172">
        <w:t xml:space="preserve"> gelet op het belang van de gebieden voor het in </w:t>
      </w:r>
      <w:r w:rsidR="00A2480B" w:rsidRPr="00AB2172">
        <w:lastRenderedPageBreak/>
        <w:t>een gunstige staat van instandhouding behouden of herstellen van een type natuurlijke habitat (art. 4, vierde lid habitatrichtlijn).</w:t>
      </w:r>
    </w:p>
    <w:p w14:paraId="096EDE60" w14:textId="39C9CE60" w:rsidR="00A2480B" w:rsidRPr="00AB2172" w:rsidRDefault="00B41510" w:rsidP="00A2480B">
      <w:r w:rsidRPr="00AB2172">
        <w:t xml:space="preserve">Voor </w:t>
      </w:r>
      <w:r w:rsidR="00007EAC" w:rsidRPr="00AB2172">
        <w:t xml:space="preserve">de aanwijzing van </w:t>
      </w:r>
      <w:r w:rsidR="00A2480B" w:rsidRPr="00AB2172">
        <w:t>gebied</w:t>
      </w:r>
      <w:r w:rsidRPr="00AB2172">
        <w:t>en</w:t>
      </w:r>
      <w:r w:rsidR="000068BF" w:rsidRPr="00AB2172">
        <w:t xml:space="preserve"> op grond van de vogelrichtlijn geldt geen aanmeldingsprocedure bij de EU </w:t>
      </w:r>
      <w:r w:rsidR="00A2480B" w:rsidRPr="00AB2172">
        <w:t xml:space="preserve">en </w:t>
      </w:r>
      <w:r w:rsidR="0091016E" w:rsidRPr="00AB2172">
        <w:t xml:space="preserve">geen plaatsing </w:t>
      </w:r>
      <w:r w:rsidR="00E70DE7" w:rsidRPr="00AB2172">
        <w:t xml:space="preserve">op de </w:t>
      </w:r>
      <w:r w:rsidR="00914366">
        <w:t>C</w:t>
      </w:r>
      <w:r w:rsidR="00E70DE7" w:rsidRPr="00AB2172">
        <w:t xml:space="preserve">ommunautaire lijst. </w:t>
      </w:r>
      <w:r w:rsidR="00A2480B" w:rsidRPr="00AB2172">
        <w:t>Deze</w:t>
      </w:r>
      <w:r w:rsidR="0091016E" w:rsidRPr="00AB2172">
        <w:t xml:space="preserve"> gebieden</w:t>
      </w:r>
      <w:r w:rsidR="00A2480B" w:rsidRPr="00AB2172">
        <w:t xml:space="preserve"> worden direct aangewezen.</w:t>
      </w:r>
    </w:p>
    <w:p w14:paraId="63689274" w14:textId="55FB17B1" w:rsidR="00C57304" w:rsidRPr="00AB2172" w:rsidRDefault="00F7775A" w:rsidP="000259A5">
      <w:r w:rsidRPr="00AB2172">
        <w:t>Op de voorbereiding van een aanwijzingsbesluit is</w:t>
      </w:r>
      <w:r w:rsidR="007C0018" w:rsidRPr="00AB2172">
        <w:t>,</w:t>
      </w:r>
      <w:r w:rsidRPr="00AB2172">
        <w:t xml:space="preserve"> </w:t>
      </w:r>
      <w:r w:rsidR="00961248" w:rsidRPr="00AB2172">
        <w:t>op grond van artikel 16.25a lid 1 Ow</w:t>
      </w:r>
      <w:r w:rsidR="007C0018" w:rsidRPr="00AB2172">
        <w:t>,</w:t>
      </w:r>
      <w:r w:rsidR="00961248" w:rsidRPr="00AB2172">
        <w:t xml:space="preserve"> </w:t>
      </w:r>
      <w:r w:rsidRPr="00AB2172">
        <w:t xml:space="preserve">afdeling 3.4 </w:t>
      </w:r>
      <w:r w:rsidR="00F94B1F" w:rsidRPr="00AB2172">
        <w:t xml:space="preserve">van de Algemene wet bestuursrecht </w:t>
      </w:r>
      <w:r w:rsidR="001238EF" w:rsidRPr="00AB2172">
        <w:t xml:space="preserve">(verder: Awb) </w:t>
      </w:r>
      <w:r w:rsidR="00F94B1F" w:rsidRPr="00AB2172">
        <w:t>van toepassing</w:t>
      </w:r>
      <w:r w:rsidR="002D0A8D" w:rsidRPr="00AB2172">
        <w:t>.</w:t>
      </w:r>
      <w:r w:rsidR="00F94B1F" w:rsidRPr="00AB2172">
        <w:t xml:space="preserve"> </w:t>
      </w:r>
      <w:r w:rsidR="002B5230" w:rsidRPr="00AB2172">
        <w:t>Het ontwerp</w:t>
      </w:r>
      <w:r w:rsidR="000259A5" w:rsidRPr="00AB2172">
        <w:t xml:space="preserve"> van het aa</w:t>
      </w:r>
      <w:r w:rsidR="00E756AD" w:rsidRPr="00AB2172">
        <w:t>n</w:t>
      </w:r>
      <w:r w:rsidR="000259A5" w:rsidRPr="00AB2172">
        <w:t xml:space="preserve">wijzingsbesluit wordt gedurende zes weken ter inzage gelegd. Gedurende die periode </w:t>
      </w:r>
      <w:r w:rsidR="00F516D2" w:rsidRPr="00AB2172">
        <w:t>kan eenieder</w:t>
      </w:r>
      <w:r w:rsidR="000259A5" w:rsidRPr="00AB2172">
        <w:t xml:space="preserve"> zienswijze</w:t>
      </w:r>
      <w:r w:rsidR="00F516D2" w:rsidRPr="00AB2172">
        <w:t>n</w:t>
      </w:r>
      <w:r w:rsidR="000259A5" w:rsidRPr="00AB2172">
        <w:t xml:space="preserve"> over het ontwerp naar voren brengen</w:t>
      </w:r>
      <w:r w:rsidR="00D73DB9" w:rsidRPr="00AB2172">
        <w:t>.</w:t>
      </w:r>
      <w:r w:rsidR="004D0053" w:rsidRPr="00AB2172">
        <w:t xml:space="preserve"> </w:t>
      </w:r>
      <w:r w:rsidR="00FF5C41" w:rsidRPr="00AB2172">
        <w:t xml:space="preserve">Op grond van artikel 16.25a, lid 2 Ow kan een bestuursorgaan afdeling 3.4 Awb, voor zover niet in strijd met internationaalrechtelijke verplichtingen, buiten toepassing laten bij de voorbereiding van een aanwijzing als bedoeld in het eerste lid, als het gaat om een wijziging van ondergeschikte aard die niet leidt tot grotere nadelige gevolgen voor het milieu. </w:t>
      </w:r>
      <w:r w:rsidR="003C4245" w:rsidRPr="00AB2172">
        <w:t>In het geval dat het gaat om de aanwijzing van een Natura 2000-gebied dat geheel of gedeelte</w:t>
      </w:r>
      <w:r w:rsidR="00BE69CC" w:rsidRPr="00AB2172">
        <w:t>l</w:t>
      </w:r>
      <w:r w:rsidR="003C4245" w:rsidRPr="00AB2172">
        <w:t xml:space="preserve">ijk ligt </w:t>
      </w:r>
      <w:r w:rsidR="00BE69CC" w:rsidRPr="00AB2172">
        <w:t>in de exclusieve economische zone</w:t>
      </w:r>
      <w:r w:rsidR="00DC62CB" w:rsidRPr="00AB2172">
        <w:t xml:space="preserve"> overlegt de minister het ontwerp-besluit aan beide kamers der Staten-Generaal</w:t>
      </w:r>
      <w:r w:rsidR="000E3531" w:rsidRPr="00AB2172">
        <w:t>; het aanwijzingsbesluit wordt dan niet eerder dan vier weken na overlegging aan de kamers</w:t>
      </w:r>
      <w:r w:rsidR="00456217" w:rsidRPr="00AB2172">
        <w:t xml:space="preserve"> genomen (artikel 23.5a lid 2 Ow). </w:t>
      </w:r>
      <w:r w:rsidR="00210ED7" w:rsidRPr="00210ED7">
        <w:t>In de situatie na inwerkingtreden van de Omgevingswet levert het bevoegd gezag,</w:t>
      </w:r>
      <w:r w:rsidR="006D6F70">
        <w:t xml:space="preserve"> n</w:t>
      </w:r>
      <w:r w:rsidR="00DA482B" w:rsidRPr="00AB2172">
        <w:t xml:space="preserve">adat </w:t>
      </w:r>
      <w:r w:rsidR="006D6F70">
        <w:t xml:space="preserve">het </w:t>
      </w:r>
      <w:r w:rsidR="00DA482B" w:rsidRPr="00AB2172">
        <w:t xml:space="preserve">een aanwijzingsbesluit </w:t>
      </w:r>
      <w:r w:rsidR="006D6F70">
        <w:t>heeft</w:t>
      </w:r>
      <w:r w:rsidR="006D6F70" w:rsidRPr="00AB2172">
        <w:t xml:space="preserve"> </w:t>
      </w:r>
      <w:r w:rsidR="00DA482B" w:rsidRPr="00AB2172">
        <w:t>genomen</w:t>
      </w:r>
      <w:r w:rsidR="006D6F70">
        <w:t>,</w:t>
      </w:r>
      <w:r w:rsidR="00DA482B" w:rsidRPr="00AB2172">
        <w:t xml:space="preserve"> het </w:t>
      </w:r>
      <w:r w:rsidR="006D6F70">
        <w:t xml:space="preserve">besluit </w:t>
      </w:r>
      <w:r w:rsidR="00DA482B" w:rsidRPr="00AB2172">
        <w:t>aan de LVBB aan</w:t>
      </w:r>
      <w:r w:rsidR="00DC198E">
        <w:t>.</w:t>
      </w:r>
      <w:r w:rsidR="00DA482B" w:rsidRPr="00AB2172">
        <w:t xml:space="preserve"> </w:t>
      </w:r>
      <w:r w:rsidR="00DC198E">
        <w:t xml:space="preserve">De LVBB </w:t>
      </w:r>
      <w:r w:rsidR="00DA482B" w:rsidRPr="00AB2172">
        <w:t>zorgt voor de bekendmaking, de eventuele consolidatie en de doorlevering aan DSO-LV. Daarna wordt het in DSO-LV getoond.</w:t>
      </w:r>
    </w:p>
    <w:p w14:paraId="6A57F351" w14:textId="1401F2E7" w:rsidR="000B172E" w:rsidRPr="00AB2172" w:rsidRDefault="000B172E" w:rsidP="000259A5">
      <w:r w:rsidRPr="00AB2172">
        <w:t xml:space="preserve">Tegen het vastgestelde aanwijzingsbesluit </w:t>
      </w:r>
      <w:r w:rsidR="001319FD" w:rsidRPr="00AB2172">
        <w:t>staan voor degenen die een zienswijze ingediend hebben de mogelijkheden van beroep en hoger beroep open</w:t>
      </w:r>
      <w:r w:rsidR="00CF081B" w:rsidRPr="00AB2172">
        <w:rPr>
          <w:rStyle w:val="Voetnootmarkering"/>
        </w:rPr>
        <w:footnoteReference w:id="14"/>
      </w:r>
      <w:r w:rsidR="001319FD" w:rsidRPr="00AB2172">
        <w:t>.</w:t>
      </w:r>
    </w:p>
    <w:p w14:paraId="3420A3C8" w14:textId="19AF3F8E" w:rsidR="006C3E24" w:rsidRPr="00AB2172" w:rsidRDefault="006C3E24" w:rsidP="00A2480B"/>
    <w:p w14:paraId="1E7A2BCB" w14:textId="2F1F2292" w:rsidR="00C803C1" w:rsidRPr="00AB2172" w:rsidRDefault="001138F3" w:rsidP="00E33EDD">
      <w:r w:rsidRPr="00AB2172">
        <w:t xml:space="preserve">Artikel 10.6b Ob bevat de verplichting voor de minister van LNV om te zorgen voor actualisatie van </w:t>
      </w:r>
      <w:r w:rsidR="006B18F6" w:rsidRPr="00AB2172">
        <w:t>de</w:t>
      </w:r>
      <w:r w:rsidRPr="00AB2172">
        <w:t xml:space="preserve"> aanwijzingsbesluit</w:t>
      </w:r>
      <w:r w:rsidR="006B18F6" w:rsidRPr="00AB2172">
        <w:t>en</w:t>
      </w:r>
      <w:r w:rsidRPr="00AB2172">
        <w:t>.</w:t>
      </w:r>
      <w:r w:rsidR="006B18F6" w:rsidRPr="00AB2172">
        <w:t xml:space="preserve"> </w:t>
      </w:r>
      <w:r w:rsidR="00564F23" w:rsidRPr="00AB2172">
        <w:t xml:space="preserve">Er </w:t>
      </w:r>
      <w:r w:rsidR="00BF4347" w:rsidRPr="00AB2172">
        <w:t xml:space="preserve">kunnen verschillende redenen zijn </w:t>
      </w:r>
      <w:r w:rsidR="00362A4B" w:rsidRPr="00AB2172">
        <w:t>voor het wijzigen van</w:t>
      </w:r>
      <w:r w:rsidR="006C3E24" w:rsidRPr="00AB2172">
        <w:t xml:space="preserve"> </w:t>
      </w:r>
      <w:r w:rsidR="00BF4347" w:rsidRPr="00AB2172">
        <w:t>een</w:t>
      </w:r>
      <w:r w:rsidR="006C3E24" w:rsidRPr="00AB2172">
        <w:t xml:space="preserve"> aanwijzingsbesluit</w:t>
      </w:r>
      <w:r w:rsidR="00BB0708" w:rsidRPr="00AB2172">
        <w:t xml:space="preserve">. </w:t>
      </w:r>
      <w:r w:rsidR="00557EC3" w:rsidRPr="00AB2172">
        <w:t>Een wijzigingsbesluit kan de grenzen van het beschermde gebied veranderen, maar ook de lijst van habitattypen en soorten en</w:t>
      </w:r>
      <w:r w:rsidR="009D7905" w:rsidRPr="00AB2172">
        <w:t>/of</w:t>
      </w:r>
      <w:r w:rsidR="00557EC3" w:rsidRPr="00AB2172">
        <w:t xml:space="preserve"> de instandhoudingsdoelstellingen daarvoor.</w:t>
      </w:r>
      <w:r w:rsidR="00CF56A0" w:rsidRPr="00AB2172">
        <w:t xml:space="preserve"> Een wijzigingsbesluit kan ook wijzigingen van meerdere gebieden tegelijk bevatten. Voor wijzigingsbesluiten gelden dezelfde procedures als voor aanwijzingsbesluiten</w:t>
      </w:r>
      <w:r w:rsidR="00804183"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