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DE23" w14:textId="3065CC93" w:rsidR="00E33EDD" w:rsidRPr="00AB2172" w:rsidRDefault="00E33EDD" w:rsidP="00E33EDD">
      <w:pPr>
        <w:pStyle w:val="Kop3"/>
      </w:pPr>
      <w:r w:rsidRPr="00AB2172">
        <w:lastRenderedPageBreak/>
        <w:t xml:space="preserve">Standaardindeling </w:t>
      </w:r>
      <w:r w:rsidRPr="00AB2172">
        <w:fldChar w:fldCharType="begin"/>
      </w:r>
      <w:r w:rsidRPr="00AB2172">
        <w:instrText>DOCVARIABLE ID01</w:instrText>
      </w:r>
      <w:r w:rsidRPr="00AB2172">
        <w:fldChar w:fldCharType="separate"/>
      </w:r>
      <w:r w:rsidR="006F52F5">
        <w:t>Natura 2000-besluiten</w:t>
      </w:r>
      <w:r w:rsidRPr="00AB2172">
        <w:fldChar w:fldCharType="end"/>
      </w:r>
      <w:bookmarkEnd w:id="2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