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96535" w14:textId="54D3D621" w:rsidR="00E33EDD" w:rsidRPr="00AB2172" w:rsidRDefault="007B75D9" w:rsidP="00E33EDD">
      <w:pPr>
        <w:pStyle w:val="Kop5"/>
      </w:pPr>
      <w:r w:rsidRPr="00AB2172">
        <w:t>Toelichting op de norm</w:t>
      </w:r>
    </w:p>
    <w:p w14:paraId="2E669B49" w14:textId="77777777" w:rsidR="007A2084" w:rsidRPr="008A3596" w:rsidRDefault="007A2084" w:rsidP="007A2084">
      <w:pPr>
        <w:pStyle w:val="Opsommingtekens1"/>
      </w:pPr>
      <w:r w:rsidRPr="008A3596">
        <w:rPr>
          <w:i/>
          <w:iCs/>
        </w:rPr>
        <w:t>identificatie</w:t>
      </w:r>
      <w:r w:rsidRPr="008A3596">
        <w:t>: de unieke identificatie voor ieder object van dit type. Voor Gebied, Gebiedengroep, Lijn, Lijnengroep, Punt en Puntengroep moet de identificatie conform het datatype NEN3610-ID zijn. In afwijking daarvan is bij Ambtsgebied de identificatie gelijk aan de bevoegd-gezag-code. Voor gemeenten, provincies en waterschappen is dat de CBS-code, inclusief de letteraanduiding van de bestuurslaag. Een voorbeeld daarvan is GM0297 voor de gemeente Zaltbommel. Voor het Rijk wordt de RVIG-code gehanteerd. Aan de hand van deze code weet DSO-LV van welk bevoegd gezag het ambtsgebied uit de bestuurlijkeGrenzen-voorziening getoond moet worden.</w:t>
      </w:r>
    </w:p>
    <w:p w14:paraId="3A74374C" w14:textId="17869D7E" w:rsidR="0070124A" w:rsidRPr="00AB2172" w:rsidRDefault="00B01BA3" w:rsidP="008769AC">
      <w:pPr>
        <w:pStyle w:val="Opsommingtekens1"/>
      </w:pPr>
      <w:r w:rsidRPr="00AB2172">
        <w:rPr>
          <w:i/>
          <w:iCs/>
        </w:rPr>
        <w:t>noemer</w:t>
      </w:r>
      <w:r w:rsidRPr="00AB2172">
        <w:t xml:space="preserve">: </w:t>
      </w:r>
      <w:r w:rsidR="004F0F97" w:rsidRPr="00AB2172">
        <w:t>de mensleesbare term of frase waarmee de Locatie wordt aangeduid en beschreven, waardoor er naar de Locatie kan worden verwezen. De noemer verbindt de tekst met de Locatie, die is vastgelegd in een juridisch vastgesteld geografisch informatieobject. Uit de noemer kan de lezer begrijpen waar de Locatie betrekking op heeft. De noemer komt voor in de tekst van de Juridische regel</w:t>
      </w:r>
      <w:r w:rsidR="00593325" w:rsidRPr="00AB2172">
        <w:t xml:space="preserve"> of het Tekstdeel</w:t>
      </w:r>
      <w:r w:rsidR="004F0F97" w:rsidRPr="00AB2172">
        <w:t xml:space="preserve">, bij de Locatie én in het geografisch informatieobject. Hierdoor is (zowel machine- als mensleesbaar) duidelijk dat Locatie en Juridische regel </w:t>
      </w:r>
      <w:r w:rsidR="003B6B55" w:rsidRPr="00AB2172">
        <w:t xml:space="preserve">of Tekstdeel </w:t>
      </w:r>
      <w:r w:rsidR="004F0F97" w:rsidRPr="00AB2172">
        <w:t>bij elkaar horen</w:t>
      </w:r>
      <w:r w:rsidR="00E55296" w:rsidRPr="00AB2172">
        <w:t xml:space="preserve">. </w:t>
      </w:r>
      <w:r w:rsidR="000A2CD9" w:rsidRPr="00AB2172">
        <w:t xml:space="preserve">Het gebruik van </w:t>
      </w:r>
      <w:r w:rsidR="004374E3" w:rsidRPr="00AB2172">
        <w:rPr>
          <w:i/>
          <w:iCs/>
        </w:rPr>
        <w:t>n</w:t>
      </w:r>
      <w:r w:rsidR="00E55296" w:rsidRPr="00AB2172">
        <w:rPr>
          <w:i/>
          <w:iCs/>
        </w:rPr>
        <w:t>oemer</w:t>
      </w:r>
      <w:r w:rsidR="00E55296" w:rsidRPr="00AB2172">
        <w:t xml:space="preserve"> is </w:t>
      </w:r>
      <w:r w:rsidR="004374E3" w:rsidRPr="00AB2172">
        <w:t>option</w:t>
      </w:r>
      <w:r w:rsidR="000A2CD9" w:rsidRPr="00AB2172">
        <w:t>eel</w:t>
      </w:r>
      <w:r w:rsidR="000B2B75" w:rsidRPr="00AB2172">
        <w:t xml:space="preserve"> omdat </w:t>
      </w:r>
      <w:r w:rsidR="00FA3890" w:rsidRPr="00AB2172">
        <w:t xml:space="preserve">er </w:t>
      </w:r>
      <w:r w:rsidR="000B2B75" w:rsidRPr="00AB2172">
        <w:t xml:space="preserve">Locaties </w:t>
      </w:r>
      <w:r w:rsidR="00FA3890" w:rsidRPr="00AB2172">
        <w:t xml:space="preserve">zijn die niet </w:t>
      </w:r>
      <w:r w:rsidR="00351EB1" w:rsidRPr="00AB2172">
        <w:t xml:space="preserve">met een term of frase te benoemen zijn. </w:t>
      </w:r>
      <w:r w:rsidR="002C1EDC" w:rsidRPr="00AB2172">
        <w:t xml:space="preserve">Dat </w:t>
      </w:r>
      <w:r w:rsidR="00F2429F" w:rsidRPr="00AB2172">
        <w:t xml:space="preserve">geldt voor </w:t>
      </w:r>
      <w:r w:rsidR="00FE308F" w:rsidRPr="00AB2172">
        <w:t>de Locatie bij Pons</w:t>
      </w:r>
      <w:r w:rsidR="00655B1A" w:rsidRPr="00AB2172">
        <w:t xml:space="preserve"> (objecttype dat alleen voor het omgevingsplan</w:t>
      </w:r>
      <w:r w:rsidR="000056D0" w:rsidRPr="00AB2172">
        <w:t xml:space="preserve"> beschikbaar is</w:t>
      </w:r>
      <w:r w:rsidR="00655B1A" w:rsidRPr="00AB2172">
        <w:t>)</w:t>
      </w:r>
      <w:r w:rsidR="00B355D6" w:rsidRPr="00AB2172">
        <w:t>. Het geldt ook voor</w:t>
      </w:r>
      <w:r w:rsidR="00655B1A" w:rsidRPr="00AB2172">
        <w:t xml:space="preserve"> </w:t>
      </w:r>
      <w:r w:rsidR="00D44FA3" w:rsidRPr="00AB2172">
        <w:t xml:space="preserve">de Locaties bij </w:t>
      </w:r>
      <w:r w:rsidR="000D29BC" w:rsidRPr="00AB2172">
        <w:t>specifieke normwaarden</w:t>
      </w:r>
      <w:r w:rsidR="00240A3B" w:rsidRPr="00AB2172">
        <w:t xml:space="preserve"> (voor omgevingsdocumenten met Artikelstructuur)</w:t>
      </w:r>
      <w:r w:rsidR="00451613" w:rsidRPr="00AB2172">
        <w:t xml:space="preserve">. Het is immers niet zinvol om </w:t>
      </w:r>
      <w:r w:rsidR="00390704" w:rsidRPr="00AB2172">
        <w:t xml:space="preserve">bijvoorbeeld </w:t>
      </w:r>
      <w:r w:rsidR="00657BAD" w:rsidRPr="00AB2172">
        <w:t xml:space="preserve">alle Locaties </w:t>
      </w:r>
      <w:r w:rsidR="000371C4" w:rsidRPr="00AB2172">
        <w:t xml:space="preserve">met </w:t>
      </w:r>
      <w:r w:rsidR="00657BAD" w:rsidRPr="00AB2172">
        <w:t>de normwaarde 5 meter</w:t>
      </w:r>
      <w:r w:rsidR="000371C4" w:rsidRPr="00AB2172">
        <w:t xml:space="preserve"> een</w:t>
      </w:r>
      <w:r w:rsidR="00F60B48" w:rsidRPr="00AB2172">
        <w:t xml:space="preserve"> </w:t>
      </w:r>
      <w:r w:rsidR="00EA39B6" w:rsidRPr="00AB2172">
        <w:t>noemer te geven</w:t>
      </w:r>
      <w:r w:rsidR="00390704" w:rsidRPr="00AB2172">
        <w:t xml:space="preserve"> en alle Locaties met de normwaarde 7 meter een andere noemer</w:t>
      </w:r>
      <w:r w:rsidR="004F0F97" w:rsidRPr="00AB2172">
        <w:t>.</w:t>
      </w:r>
      <w:r w:rsidR="00615055" w:rsidRPr="00AB2172">
        <w:t xml:space="preserve"> </w:t>
      </w:r>
      <w:r w:rsidR="002F1017" w:rsidRPr="00AB2172">
        <w:t xml:space="preserve">Voorbeelden van noemer </w:t>
      </w:r>
      <w:r w:rsidR="006F7A80" w:rsidRPr="00AB2172">
        <w:t>voor omgevingsplan respectievelijk omgevingsverordening, waarbij de noemer in cursieve tekst is weergegeven, zijn:</w:t>
      </w:r>
      <w:r w:rsidR="00B8242C" w:rsidRPr="00AB2172">
        <w:t xml:space="preserve"> </w:t>
      </w:r>
      <w:r w:rsidR="006F7A80" w:rsidRPr="00AB2172">
        <w:t xml:space="preserve">Ter plaatse van de functie </w:t>
      </w:r>
      <w:r w:rsidR="006F7A80" w:rsidRPr="00AB2172">
        <w:rPr>
          <w:i/>
          <w:iCs/>
        </w:rPr>
        <w:t>Levendig stadscentrum</w:t>
      </w:r>
      <w:r w:rsidR="006F7A80" w:rsidRPr="00AB2172">
        <w:t xml:space="preserve"> zijn de volgende activiteiten toegestaan.</w:t>
      </w:r>
      <w:r w:rsidR="00B8242C" w:rsidRPr="00AB2172">
        <w:t xml:space="preserve"> </w:t>
      </w:r>
      <w:r w:rsidR="006F7A80" w:rsidRPr="00AB2172">
        <w:t xml:space="preserve">Nieuwe luidruchtige activiteiten en gedragingen zijn in een </w:t>
      </w:r>
      <w:r w:rsidR="006F7A80" w:rsidRPr="00AB2172">
        <w:rPr>
          <w:i/>
          <w:iCs/>
        </w:rPr>
        <w:t>stiltegebied</w:t>
      </w:r>
      <w:r w:rsidR="006F7A80" w:rsidRPr="00AB2172">
        <w:t xml:space="preserve"> verboden.</w:t>
      </w:r>
      <w:r w:rsidR="00C96DBA" w:rsidRPr="00AB2172">
        <w:br/>
      </w:r>
      <w:r w:rsidR="00583D9A" w:rsidRPr="00AB2172">
        <w:t xml:space="preserve">Zie voor een beschrijving van </w:t>
      </w:r>
      <w:r w:rsidR="00D54C5F" w:rsidRPr="00AB2172">
        <w:t xml:space="preserve">noemer ook paragraaf </w:t>
      </w:r>
      <w:r w:rsidR="00F40ED8" w:rsidRPr="004C1E72">
        <w:rPr>
          <w:rStyle w:val="Verwijzing"/>
        </w:rPr>
        <w:fldChar w:fldCharType="begin"/>
      </w:r>
      <w:r w:rsidR="00F40ED8" w:rsidRPr="004C1E72">
        <w:rPr>
          <w:rStyle w:val="Verwijzing"/>
        </w:rPr>
        <w:instrText xml:space="preserve"> REF _Ref_19cdb374d0a5343e71f618c280379620_1 </w:instrText>
      </w:r>
      <w:r w:rsidR="00917D79" w:rsidRPr="004C1E72">
        <w:rPr>
          <w:rStyle w:val="Verwijzing"/>
        </w:rPr>
        <w:instrText>\n \h</w:instrText>
      </w:r>
      <w:r w:rsidR="00F40ED8" w:rsidRPr="004C1E72">
        <w:rPr>
          <w:rStyle w:val="Verwijzing"/>
        </w:rPr>
        <w:instrText xml:space="preserve"> </w:instrText>
      </w:r>
      <w:r w:rsidR="00AB2172" w:rsidRPr="004C1E72">
        <w:rPr>
          <w:rStyle w:val="Verwijzing"/>
        </w:rPr>
        <w:instrText xml:space="preserve"> \* MERGEFORMAT </w:instrText>
      </w:r>
      <w:r w:rsidR="00F40ED8" w:rsidRPr="004C1E72">
        <w:rPr>
          <w:rStyle w:val="Verwijzing"/>
        </w:rPr>
      </w:r>
      <w:r w:rsidR="00F40ED8" w:rsidRPr="004C1E72">
        <w:rPr>
          <w:rStyle w:val="Verwijzing"/>
        </w:rPr>
        <w:fldChar w:fldCharType="separate"/>
      </w:r>
      <w:r w:rsidR="006F52F5" w:rsidRPr="004C1E72">
        <w:rPr>
          <w:rStyle w:val="Verwijzing"/>
        </w:rPr>
        <w:t>6.2.2.2</w:t>
      </w:r>
      <w:r w:rsidR="00F40ED8" w:rsidRPr="004C1E72">
        <w:rPr>
          <w:rStyle w:val="Verwijzing"/>
        </w:rPr>
        <w:fldChar w:fldCharType="end"/>
      </w:r>
      <w:r w:rsidR="00D54C5F" w:rsidRPr="00AB2172">
        <w:t>.</w:t>
      </w:r>
    </w:p>
    <w:p w14:paraId="7CE46E50" w14:textId="445FBC65" w:rsidR="00B22728" w:rsidRPr="00AB2172" w:rsidRDefault="00B22728" w:rsidP="008769AC">
      <w:pPr>
        <w:pStyle w:val="Opsommingtekens1"/>
      </w:pPr>
      <w:r w:rsidRPr="00AB2172">
        <w:rPr>
          <w:i/>
        </w:rPr>
        <w:lastRenderedPageBreak/>
        <w:t>hoogte</w:t>
      </w:r>
      <w:r w:rsidRPr="00AB2172">
        <w:t xml:space="preserve">: optioneel attribuut waarmee voor Gebied, Lijn en Punt de hoogteligging kan worden vastgelegd. </w:t>
      </w:r>
      <w:r w:rsidRPr="00AB2172">
        <w:rPr>
          <w:i/>
        </w:rPr>
        <w:t>hoogte</w:t>
      </w:r>
      <w:r w:rsidRPr="00AB2172">
        <w:t xml:space="preserve"> wordt vastgelegd met WaardeEenheid, dat bestaat uit de elementen </w:t>
      </w:r>
      <w:r w:rsidR="00907176" w:rsidRPr="00AB2172">
        <w:t>w</w:t>
      </w:r>
      <w:r w:rsidRPr="00AB2172">
        <w:t xml:space="preserve">aarde en </w:t>
      </w:r>
      <w:r w:rsidR="00907176" w:rsidRPr="00AB2172">
        <w:t>e</w:t>
      </w:r>
      <w:r w:rsidRPr="00AB2172">
        <w:t xml:space="preserve">enheid. Waarde legt de hoogte in een getal vast, Eenheid geeft aan in welke grootheid de hoogte moet worden gemeten. </w:t>
      </w:r>
      <w:r w:rsidR="00555430" w:rsidRPr="00AB2172">
        <w:t>Voor eenheid kan gebruik gemaakt worden van de uitbreidbare waardelijst 'Eenheid’.</w:t>
      </w:r>
      <w:r w:rsidR="00320DAD" w:rsidRPr="00AB2172">
        <w:t xml:space="preserve"> </w:t>
      </w:r>
      <w:r w:rsidR="00320DAD" w:rsidRPr="00AB2172">
        <w:rPr>
          <w:i/>
          <w:iCs/>
        </w:rPr>
        <w:t>hoogte</w:t>
      </w:r>
      <w:r w:rsidR="00320DAD" w:rsidRPr="00AB2172">
        <w:t xml:space="preserve"> kan bijvoorbeeld worden </w:t>
      </w:r>
      <w:r w:rsidR="006C1A64" w:rsidRPr="00AB2172">
        <w:t xml:space="preserve">gebruikt </w:t>
      </w:r>
      <w:r w:rsidR="00114D69" w:rsidRPr="00AB2172">
        <w:t>om van (de omgevingswaarde) geluidproductieplafonds aan te geven op welke hoogte ze gelden</w:t>
      </w:r>
      <w:r w:rsidR="00701347" w:rsidRPr="00AB2172">
        <w:t xml:space="preserve">; in dat geval wordt de eenheid meter gekozen. Een ander voorbeeld van de toepassing van </w:t>
      </w:r>
      <w:r w:rsidR="00701347" w:rsidRPr="00AB2172">
        <w:rPr>
          <w:i/>
          <w:iCs/>
        </w:rPr>
        <w:t>hoogte</w:t>
      </w:r>
      <w:r w:rsidR="00701347" w:rsidRPr="00AB2172">
        <w:t xml:space="preserve"> is het vastleggen van de bouwlaag in een gebouw waar een bepaalde activiteit verricht mag worden. In dat geval wordt de eenheid bouwlaag gekozen; bovengrondse bouwlagen worden in een positief getal uitgedrukt, ondergrondse bouwlagen in een negatief getal</w:t>
      </w:r>
      <w:r w:rsidR="00114D69" w:rsidRPr="00AB2172">
        <w:t>.</w:t>
      </w:r>
    </w:p>
    <w:p w14:paraId="4F0755F1" w14:textId="77777777" w:rsidR="00416FB0" w:rsidRPr="008A3596" w:rsidRDefault="00B22728" w:rsidP="00416FB0">
      <w:pPr>
        <w:pStyle w:val="Opsommingtekens1"/>
      </w:pPr>
      <w:r w:rsidRPr="00AB2172">
        <w:rPr>
          <w:i/>
        </w:rPr>
        <w:t>geometrie</w:t>
      </w:r>
      <w:r w:rsidRPr="00AB2172">
        <w:t xml:space="preserve">: attribuut dat de verwijzing </w:t>
      </w:r>
      <w:r w:rsidRPr="00416FB0">
        <w:t xml:space="preserve">bevat van een specifiek Gebied, Lijn of Punt naar de </w:t>
      </w:r>
      <w:r w:rsidRPr="00F4550F">
        <w:t>identificatie van de bijbehorende Geometrie. Dit attribuut legt dus vast dat deze Geometrie bij het betreffende Gebied, Lijn of Punt hoort.</w:t>
      </w:r>
      <w:r w:rsidR="00416FB0" w:rsidRPr="008D7BB5">
        <w:t xml:space="preserve"> </w:t>
      </w:r>
      <w:r w:rsidR="00416FB0" w:rsidRPr="008A3596">
        <w:t>Bij Ambtsgebied kan er geen geometrie worden meegeleverd.</w:t>
      </w:r>
    </w:p>
    <w:p w14:paraId="6778EA4C" w14:textId="77777777" w:rsidR="00416FB0" w:rsidRPr="008A3596" w:rsidRDefault="00416FB0" w:rsidP="00416FB0">
      <w:pPr>
        <w:pStyle w:val="Opsommingtekens1"/>
      </w:pPr>
      <w:r w:rsidRPr="008A3596">
        <w:rPr>
          <w:i/>
        </w:rPr>
        <w:t xml:space="preserve">domein: </w:t>
      </w:r>
      <w:r w:rsidRPr="008A3596">
        <w:rPr>
          <w:iCs/>
        </w:rPr>
        <w:t>attribuut waardoor DSO-LV weet dat de inhoud van dit object te vinden is in een andere voorziening, alleen te gebruiken bij Ambtsgebied. Het bijhouden van het Ambtsgebied gebeurt in de bestuurlijkeGrenzen-voorziening. Daarom moet bij dit attribuut altijd de identificatie van die voorziening worden ingevuld.</w:t>
      </w:r>
    </w:p>
    <w:p w14:paraId="24C14718" w14:textId="77777777" w:rsidR="00416FB0" w:rsidRPr="008A3596" w:rsidRDefault="00416FB0" w:rsidP="00416FB0">
      <w:pPr>
        <w:pStyle w:val="Opsommingtekens1"/>
      </w:pPr>
      <w:r w:rsidRPr="008A3596">
        <w:rPr>
          <w:i/>
        </w:rPr>
        <w:t xml:space="preserve">geldigOp: </w:t>
      </w:r>
      <w:r w:rsidRPr="008A3596">
        <w:rPr>
          <w:iCs/>
        </w:rPr>
        <w:t>attribuut waardoor DSO-LV weet welke versie van het ambtsgebied getoond moet worden. Wanneer dit attribuut is ingevuld, toont DSO-LV het Ambtsgebied zoals dat geldig was op de ingevulde datum. Als het attribuut niet is ingevuld, toont DSO-LV het actuele Ambtsgebied zoals dat geldig is op de datum van bevragen, oftewel de nieuwste versie van het Ambtsgebied die aanwezig is in de bestuurlijkeGrenzen-voorziening.</w:t>
      </w:r>
    </w:p>
    <w:p w14:paraId="25D12343" w14:textId="77777777" w:rsidR="00416FB0" w:rsidRPr="008A3596" w:rsidRDefault="00416FB0" w:rsidP="00416FB0"/>
    <w:p w14:paraId="63427603" w14:textId="77777777" w:rsidR="00416FB0" w:rsidRPr="00F4550F" w:rsidRDefault="00416FB0" w:rsidP="00416FB0">
      <w:r w:rsidRPr="008A3596">
        <w:t>Met uitzondering van Locatie in de verschijningsvorm van Ambtsgebied wordt</w:t>
      </w:r>
      <w:r w:rsidRPr="00416FB0">
        <w:t xml:space="preserve"> </w:t>
      </w:r>
      <w:r w:rsidRPr="00E91E83">
        <w:t>Locatie altijd vastgelegd in een geografisch informatieobject.</w:t>
      </w:r>
    </w:p>
    <w:p w14:paraId="07B64588" w14:textId="77777777" w:rsidR="00416FB0" w:rsidRPr="008A3596" w:rsidRDefault="00416FB0" w:rsidP="00416FB0"/>
    <w:p w14:paraId="56CB37B0" w14:textId="4D36C2FB" w:rsidR="00B866C0" w:rsidRPr="008A3596" w:rsidRDefault="00416FB0" w:rsidP="00416FB0">
      <w:r w:rsidRPr="008A3596">
        <w:t xml:space="preserve">Uitgangspunt van regelgeving over de bekendmaking van besluiten is dat informatie die niet op een begrijpelijke manier in tekst te beschrijven is, wordt vastgelegd in een informatieobject. Daarom wordt de locatie waar een regel (of beleid) geldig is, vastgelegd met een geografisch informatieobject. Op deze manier is de locatie permanent terug te vinden en is de onveranderlijkheid van de locatie gewaarborgd (zie ook paragraaf </w:t>
      </w:r>
      <w:r w:rsidRPr="004C1E72">
        <w:rPr>
          <w:rStyle w:val="Verwijzing"/>
        </w:rPr>
        <w:fldChar w:fldCharType="begin"/>
      </w:r>
      <w:r w:rsidRPr="004C1E72">
        <w:rPr>
          <w:rStyle w:val="Verwijzing"/>
        </w:rPr>
        <w:instrText xml:space="preserve"> REF _Ref_19cdb374d0a5343e71f618c280379620_1 </w:instrText>
      </w:r>
      <w:r w:rsidR="00A042C3" w:rsidRPr="004C1E72">
        <w:rPr>
          <w:rStyle w:val="Verwijzing"/>
        </w:rPr>
        <w:instrText>\n \h</w:instrText>
      </w:r>
      <w:r w:rsidRPr="004C1E72">
        <w:rPr>
          <w:rStyle w:val="Verwijzing"/>
        </w:rPr>
        <w:instrText xml:space="preserve">  \* MERGEFORMAT </w:instrText>
      </w:r>
      <w:r w:rsidRPr="004C1E72">
        <w:rPr>
          <w:rStyle w:val="Verwijzing"/>
        </w:rPr>
      </w:r>
      <w:r w:rsidRPr="004C1E72">
        <w:rPr>
          <w:rStyle w:val="Verwijzing"/>
        </w:rPr>
        <w:fldChar w:fldCharType="separate"/>
      </w:r>
      <w:r w:rsidR="006F52F5" w:rsidRPr="004C1E72">
        <w:rPr>
          <w:rStyle w:val="Verwijzing"/>
        </w:rPr>
        <w:t>6.2.2.2</w:t>
      </w:r>
      <w:r w:rsidRPr="004C1E72">
        <w:rPr>
          <w:rStyle w:val="Verwijzing"/>
        </w:rPr>
        <w:fldChar w:fldCharType="end"/>
      </w:r>
      <w:r w:rsidRPr="008A3596">
        <w:t>). Door het nemen van het besluit stelt het bevoegd gezag het geografisch informatieobject vast en ‘ontstaat’ de locatie. Wanneer een regel geldt voor het hele ambtsgebied van het bevoegd gezag wordt het niet passend geacht als het bevoegd gezag dat ambtsgebied in de vorm van een geografisch informatieobject vast zou stellen. Ambtsgebieden worden immers door andere wetgeving (en in de meeste gevallen door een ander bevoegd gezag) vastgesteld. Daarom wordt Ambtsgebied als verschijningsvorm van Locatie niet vastgesteld en vastgelegd met een geometrie en een geografisch informatieobject, maar door een verwijzing op te nemen naar het ambtsgebied in de bestuurlijkeGrenzen-voorziening. Dit is de voorziening waarin de door die andere wetgeving vastgestelde bestuurlijke grenzen worden vastgelegd en beheerd.</w:t>
      </w:r>
    </w:p>
    <w:p w14:paraId="7AC4CEEC" w14:textId="4D2434ED" w:rsidR="00416FB0" w:rsidRPr="008A3596" w:rsidRDefault="00416FB0" w:rsidP="00416FB0">
      <w:r w:rsidRPr="008A3596">
        <w:t xml:space="preserve">Ambtsgebied wordt niet door het bevoegd gezag vastgelegd met het object Geometrie en heeft geen hoogteligging. Het kent daarom niet de attributen </w:t>
      </w:r>
      <w:r w:rsidRPr="008A3596">
        <w:rPr>
          <w:i/>
          <w:iCs/>
        </w:rPr>
        <w:t>geometrie</w:t>
      </w:r>
      <w:r w:rsidRPr="008A3596">
        <w:t xml:space="preserve"> en </w:t>
      </w:r>
      <w:r w:rsidRPr="008A3596">
        <w:rPr>
          <w:i/>
          <w:iCs/>
        </w:rPr>
        <w:t>hoogte</w:t>
      </w:r>
      <w:r w:rsidRPr="008A3596">
        <w:t>.</w:t>
      </w:r>
    </w:p>
    <w:p w14:paraId="6B433A3A" w14:textId="77777777" w:rsidR="00416FB0" w:rsidRPr="008A3596" w:rsidRDefault="00416FB0" w:rsidP="00416FB0"/>
    <w:p w14:paraId="4A1E2313" w14:textId="62798F6F" w:rsidR="00416FB0" w:rsidRPr="006F6DD6" w:rsidRDefault="00416FB0" w:rsidP="00416FB0">
      <w:pPr>
        <w:rPr>
          <w:highlight w:val="magenta"/>
        </w:rPr>
      </w:pPr>
      <w:r w:rsidRPr="008A3596">
        <w:t xml:space="preserve">Zoals in deze en de vorige paragraaf al besproken, kan op twee manieren naar Ambtsgebied worden verwezen: statisch en dynamisch. Bij het gebruik van Ambtsgebied als Locatie van een regel of beleid dient een bewuste keuze gemaakt te worden tussen die twee verwijsmethoden. Bij een dynamische verwijzing wordt na een bestuurlijke herindeling </w:t>
      </w:r>
      <w:r w:rsidRPr="008A3596">
        <w:lastRenderedPageBreak/>
        <w:t>automatisch het nieuwe ambtsgebied getoond als werkingsgebied van de regel. Het kan daardoor zijn dat een regel voor een nieuw gebied gaat gelden, zonder dat betrokkenen in dat gebied de mogelijkheid hebben gehad om daartegen beroep in te stellen.</w:t>
      </w:r>
    </w:p>
    <w:p w14:paraId="01345A16" w14:textId="77777777" w:rsidR="00416FB0" w:rsidRDefault="00416FB0" w:rsidP="00C46B28">
      <w:pPr>
        <w:pStyle w:val="Kader"/>
      </w:pPr>
      <w:r w:rsidRPr="006F6DD6">
        <w:rPr>
          <w:noProof/>
          <w:highlight w:val="magenta"/>
        </w:rPr>
        <mc:AlternateContent>
          <mc:Choice Requires="wps">
            <w:drawing>
              <wp:inline distT="0" distB="0" distL="0" distR="0" wp14:anchorId="0D5265E9" wp14:editId="33111D01">
                <wp:extent cx="1828800" cy="1828800"/>
                <wp:effectExtent l="0" t="0" r="22860" b="10160"/>
                <wp:docPr id="23" name="Tekstvak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12527260" w14:textId="77777777" w:rsidR="00416FB0" w:rsidRPr="00044BBB" w:rsidRDefault="00416FB0" w:rsidP="00416FB0">
                            <w:pPr>
                              <w:rPr>
                                <w:b/>
                                <w:bCs/>
                              </w:rPr>
                            </w:pPr>
                            <w:r w:rsidRPr="00044BBB">
                              <w:rPr>
                                <w:b/>
                                <w:bCs/>
                              </w:rPr>
                              <w:t>Toekomstige functionaliteit</w:t>
                            </w:r>
                          </w:p>
                          <w:p w14:paraId="7FFA8B23" w14:textId="77777777" w:rsidR="00416FB0" w:rsidRPr="0034067F" w:rsidRDefault="00416FB0" w:rsidP="00416FB0">
                            <w:r>
                              <w:t>In een volgende versie van dit toepassingsprofiel wordt beschreven in welke gevallen het beste dynamisch en in welke gevallen het beste statisch verwezen kan worden naar Ambtsgebied.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D5265E9" id="Tekstvak 23" o:spid="_x0000_s1027"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" filled="f" strokeweight=".5pt">
                <v:textbox style="mso-fit-shape-to-text:t">
                  <w:txbxContent>
                    <w:p w14:paraId="12527260" w14:textId="77777777" w:rsidR="00416FB0" w:rsidRPr="00044BBB" w:rsidRDefault="00416FB0" w:rsidP="00416FB0">
                      <w:pPr>
                        <w:rPr>
                          <w:b/>
                          <w:bCs/>
                        </w:rPr>
                      </w:pPr>
                      <w:r w:rsidRPr="00044BBB">
                        <w:rPr>
                          <w:b/>
                          <w:bCs/>
                        </w:rPr>
                        <w:t>Toekomstige functionaliteit</w:t>
                      </w:r>
                    </w:p>
                    <w:p w14:paraId="7FFA8B23" w14:textId="77777777" w:rsidR="00416FB0" w:rsidRPr="0034067F" w:rsidRDefault="00416FB0" w:rsidP="00416FB0">
                      <w:r>
                        <w:t>In een volgende versie van dit toepassingsprofiel wordt beschreven in welke gevallen het beste dynamisch en in welke gevallen het beste statisch verwezen kan worden naar Ambtsgebied.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