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8A95" w14:textId="6398924C" w:rsidR="00E33EDD" w:rsidRPr="00AB2172" w:rsidRDefault="00E33EDD" w:rsidP="00451E5F">
      <w:pPr>
        <w:pStyle w:val="Kop2bijlage"/>
      </w:pPr>
      <w:r w:rsidRPr="00AB2172">
        <w:lastRenderedPageBreak/>
        <w:t>Ontwerpkeuzen</w:t>
      </w:r>
    </w:p>
    <w:p w14:paraId="3FEB6480" w14:textId="6870A7C0" w:rsidR="00E33EDD" w:rsidRDefault="00E33EDD" w:rsidP="00E33EDD">
      <w:r w:rsidRPr="00AB2172">
        <w:t xml:space="preserve">Voor </w:t>
      </w:r>
      <w:r w:rsidRPr="00AB2172">
        <w:fldChar w:fldCharType="begin"/>
      </w:r>
      <w:r w:rsidRPr="00AB2172">
        <w:instrText>DOCVARIABLE ID01+</w:instrText>
      </w:r>
      <w:r w:rsidRPr="00AB2172">
        <w:fldChar w:fldCharType="separate"/>
      </w:r>
      <w:r w:rsidR="006F52F5">
        <w:t>de Natura 2000-besluiten</w:t>
      </w:r>
      <w:r w:rsidRPr="00AB2172">
        <w:fldChar w:fldCharType="end"/>
      </w:r>
      <w:r w:rsidRPr="00AB2172">
        <w:t xml:space="preserve"> zijn geen </w:t>
      </w:r>
      <w:r w:rsidR="00175570" w:rsidRPr="00AB2172">
        <w:t>‘</w:t>
      </w:r>
      <w:r w:rsidRPr="00AB2172">
        <w:t>van de standaard</w:t>
      </w:r>
      <w:r w:rsidR="00175570" w:rsidRPr="00AB2172">
        <w:t>’</w:t>
      </w:r>
      <w:r w:rsidRPr="00AB2172">
        <w:t xml:space="preserve"> afwijkende ontwerpkeuzen van toepassing.</w:t>
      </w:r>
    </w:p>
    <w:p w14:paraId="04B788BF" w14:textId="1C8A5058" w:rsidR="009D44F8" w:rsidRDefault="009D44F8">
      <w:pPr>
        <w:spacing w:line="240" w:lineRule="auto"/>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