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D9EA0" w14:textId="7362CE8D" w:rsidR="004416D3" w:rsidRDefault="00AA6CB1" w:rsidP="00644708">
      <w:pPr>
        <w:pStyle w:val="Kop4"/>
      </w:pPr>
      <w:r>
        <w:t>Toelichting</w:t>
      </w:r>
    </w:p>
    <w:p w14:paraId="6FFB4F17" w14:textId="6159A356" w:rsidR="004416D3" w:rsidRDefault="00AA6CB1" w:rsidP="004416D3">
      <w:r w:rsidRPr="00F62F31">
        <w:t xml:space="preserve">Het besluit waarbij een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5F1E03">
        <w:rPr>
          <w:noProof/>
        </w:rPr>
        <w:t>AMvB/MR</w:t>
      </w:r>
      <w:r w:rsidRPr="00F62F31">
        <w:fldChar w:fldCharType="end"/>
      </w:r>
      <w:r w:rsidRPr="00F62F31">
        <w:t xml:space="preserve"> of een wijziging daarvan wordt vastgesteld, bestaat uit twee onderdelen.</w:t>
      </w:r>
    </w:p>
    <w:p w14:paraId="17162603" w14:textId="51154768" w:rsidR="004416D3" w:rsidRPr="00CE66A9" w:rsidRDefault="00AA6CB1" w:rsidP="004416D3">
      <w:pPr>
        <w:pStyle w:val="Kop6"/>
      </w:pPr>
      <w:r w:rsidRPr="00CE66A9">
        <w:t xml:space="preserve">Deel één: </w:t>
      </w:r>
      <w:r w:rsidR="002F77FC">
        <w:t>regels</w:t>
      </w:r>
    </w:p>
    <w:p w14:paraId="58D55FF3" w14:textId="46DC034B" w:rsidR="00B52A20" w:rsidRDefault="008A0CCF" w:rsidP="00B52A20">
      <w:r>
        <w:t xml:space="preserve">Dit deel </w:t>
      </w:r>
      <w:r w:rsidR="00B52A20">
        <w:t xml:space="preserve">van het besluit bestaat uit de regels van </w:t>
      </w:r>
      <w:r w:rsidR="008F6D0A">
        <w:fldChar w:fldCharType="begin"/>
      </w:r>
      <w:r w:rsidR="008F6D0A">
        <w:instrText xml:space="preserve"> DOCVARIABLE ID01+ </w:instrText>
      </w:r>
      <w:r w:rsidR="008F6D0A">
        <w:fldChar w:fldCharType="separate"/>
      </w:r>
      <w:r w:rsidR="005F1E03">
        <w:t>de AMvB/MR</w:t>
      </w:r>
      <w:r w:rsidR="008F6D0A">
        <w:fldChar w:fldCharType="end"/>
      </w:r>
      <w:r w:rsidR="00B52A20">
        <w:t xml:space="preserve">. </w:t>
      </w:r>
      <w:r w:rsidR="00445553" w:rsidRPr="00445553">
        <w:t>Het bestaat in ieder geval uit de Regeltekst(en) en de daarbij behorende geografische informatieobjecten die de Locaties vastleggen.</w:t>
      </w:r>
      <w:r w:rsidR="00B52A20">
        <w:t xml:space="preserve"> Het </w:t>
      </w:r>
      <w:r w:rsidR="00445553">
        <w:t>volledige gebied</w:t>
      </w:r>
      <w:r w:rsidR="00E23277">
        <w:t xml:space="preserve"> van de</w:t>
      </w:r>
      <w:r w:rsidR="00B52A20">
        <w:t xml:space="preserve"> AMvB is heel Nederland inclusief EEZ. Bij dit deel kunnen bijlagen worden gevoegd. Hier kunnen tabellen, afbeeldingen en/of plaatjes aan toegevoegd worden.</w:t>
      </w:r>
    </w:p>
    <w:p w14:paraId="6EF6DDDC" w14:textId="0177210D" w:rsidR="004416D3" w:rsidRDefault="00B52A20" w:rsidP="00B52A20">
      <w:r>
        <w:t xml:space="preserve">In het geval van een wijzigingsbesluit wordt in dit deel concreet aangegeven op welke wijze </w:t>
      </w:r>
      <w:r w:rsidR="008F6D0A">
        <w:fldChar w:fldCharType="begin"/>
      </w:r>
      <w:r w:rsidR="008F6D0A">
        <w:instrText xml:space="preserve"> DOCVARIABLE ID01+ </w:instrText>
      </w:r>
      <w:r w:rsidR="008F6D0A">
        <w:fldChar w:fldCharType="separate"/>
      </w:r>
      <w:r w:rsidR="005F1E03">
        <w:t>de AMvB/MR</w:t>
      </w:r>
      <w:r w:rsidR="008F6D0A">
        <w:fldChar w:fldCharType="end"/>
      </w:r>
      <w:r w:rsidR="001E4668">
        <w:t xml:space="preserve"> </w:t>
      </w:r>
      <w:r>
        <w:t>wordt aangepast. Aangegeven wordt welke regels worden toegevoegd, geschrapt, gewijzigd of vervangen door andere regels. Dit deel van het vaststellings- of wijzigingsbesluit is vergelijkbaar met de wijziging van een wet of een verordening. Dit deel wordt weergegeven in ‘renvooiweergave’; een weergave waarin met visuele middelen wordt duidelijk gemaakt wat wordt toegevoegd of geschrapt.</w:t>
      </w:r>
    </w:p>
    <w:p w14:paraId="0DAEA71F" w14:textId="28B380EC" w:rsidR="004416D3" w:rsidRPr="00780C33" w:rsidRDefault="00AA6CB1" w:rsidP="004416D3">
      <w:pPr>
        <w:pStyle w:val="Kop6"/>
      </w:pPr>
      <w:r w:rsidRPr="00780C33">
        <w:t xml:space="preserve">Deel twee: </w:t>
      </w:r>
      <w:r w:rsidR="000A1AA4" w:rsidRPr="000A1AA4">
        <w:t>algemene en artikelsgewijze toelichting</w:t>
      </w:r>
    </w:p>
    <w:p w14:paraId="4DE384F5" w14:textId="523BAA2A" w:rsidR="004416D3" w:rsidRPr="00F62F31" w:rsidRDefault="00EE57E7" w:rsidP="00EE57E7">
      <w:r w:rsidRPr="00EE57E7">
        <w:t xml:space="preserve">Het tweede deel van </w:t>
      </w:r>
      <w:r w:rsidR="008F6D0A">
        <w:fldChar w:fldCharType="begin"/>
      </w:r>
      <w:r w:rsidR="008F6D0A">
        <w:instrText xml:space="preserve"> DOCVARIABLE ID01+ </w:instrText>
      </w:r>
      <w:r w:rsidR="008F6D0A">
        <w:fldChar w:fldCharType="separate"/>
      </w:r>
      <w:r w:rsidR="005F1E03">
        <w:t>de AMvB/MR</w:t>
      </w:r>
      <w:r w:rsidR="008F6D0A">
        <w:fldChar w:fldCharType="end"/>
      </w:r>
      <w:r w:rsidRPr="00EE57E7">
        <w:t xml:space="preserve"> is de toelichting</w:t>
      </w:r>
      <w:r w:rsidR="00EC3BF3">
        <w:rPr>
          <w:rStyle w:val="Voetnootmarkering"/>
        </w:rPr>
        <w:footnoteReference w:id="3"/>
      </w:r>
      <w:r w:rsidRPr="00EE57E7">
        <w:t>. De toelichting bestaat uit een algemene of artikelsgewijze toelichting die bij wetten gebruikelijk is</w:t>
      </w:r>
      <w:r w:rsidR="003C4854">
        <w:rPr>
          <w:rStyle w:val="Voetnootmarkering"/>
        </w:rPr>
        <w:footnoteReference w:id="4"/>
      </w:r>
      <w:r w:rsidRPr="00EE57E7">
        <w:t>. Indien gewenst kunnen bij zowel de algemene als de artikelsgewijze toelichting bijlagen worden gevoegd. Zowel de toelichting als de bijlagen kunnen tabellen, afbeeldingen en/of plaatjes bevatten.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